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宋体" w:hAnsi="宋体"/>
          <w:b/>
          <w:sz w:val="36"/>
          <w:szCs w:val="22"/>
        </w:rPr>
      </w:pPr>
    </w:p>
    <w:p>
      <w:pPr>
        <w:spacing w:after="0" w:line="360" w:lineRule="auto"/>
        <w:jc w:val="center"/>
        <w:rPr>
          <w:rFonts w:ascii="宋体" w:hAnsi="宋体"/>
          <w:b/>
          <w:w w:val="90"/>
          <w:sz w:val="72"/>
          <w:szCs w:val="72"/>
        </w:rPr>
      </w:pPr>
      <w:r>
        <w:rPr>
          <w:rFonts w:hint="eastAsia" w:ascii="宋体" w:hAnsi="宋体"/>
          <w:b/>
          <w:w w:val="90"/>
          <w:sz w:val="72"/>
          <w:szCs w:val="72"/>
        </w:rPr>
        <w:t>机电产品采购</w:t>
      </w:r>
    </w:p>
    <w:p>
      <w:pPr>
        <w:spacing w:after="0" w:line="360" w:lineRule="auto"/>
        <w:jc w:val="center"/>
        <w:rPr>
          <w:rFonts w:ascii="宋体" w:hAnsi="宋体"/>
          <w:b/>
          <w:sz w:val="72"/>
          <w:szCs w:val="72"/>
        </w:rPr>
      </w:pPr>
      <w:r>
        <w:rPr>
          <w:rFonts w:hint="eastAsia" w:ascii="宋体" w:hAnsi="宋体"/>
          <w:b/>
          <w:w w:val="90"/>
          <w:sz w:val="72"/>
          <w:szCs w:val="72"/>
        </w:rPr>
        <w:t>国际竞争性招标采购文件</w:t>
      </w:r>
    </w:p>
    <w:p>
      <w:pPr>
        <w:spacing w:after="0"/>
        <w:rPr>
          <w:rFonts w:ascii="宋体" w:hAnsi="宋体"/>
          <w:b/>
          <w:sz w:val="36"/>
        </w:rPr>
      </w:pPr>
    </w:p>
    <w:p>
      <w:pPr>
        <w:spacing w:after="0"/>
        <w:jc w:val="center"/>
        <w:rPr>
          <w:rFonts w:ascii="宋体" w:hAnsi="宋体"/>
          <w:b/>
          <w:sz w:val="44"/>
          <w:szCs w:val="44"/>
        </w:rPr>
      </w:pPr>
      <w:r>
        <w:rPr>
          <w:rFonts w:hint="eastAsia" w:ascii="宋体" w:hAnsi="宋体"/>
          <w:b/>
          <w:sz w:val="44"/>
          <w:szCs w:val="44"/>
        </w:rPr>
        <w:t>(第二册)</w:t>
      </w:r>
    </w:p>
    <w:p>
      <w:pPr>
        <w:spacing w:after="0"/>
        <w:rPr>
          <w:rFonts w:ascii="宋体" w:hAnsi="宋体"/>
          <w:b/>
          <w:sz w:val="44"/>
          <w:szCs w:val="44"/>
        </w:rPr>
      </w:pPr>
    </w:p>
    <w:p>
      <w:pPr>
        <w:spacing w:after="0"/>
        <w:jc w:val="left"/>
        <w:rPr>
          <w:rFonts w:ascii="宋体" w:hAnsi="宋体"/>
          <w:sz w:val="36"/>
          <w:szCs w:val="36"/>
          <w:u w:val="single"/>
        </w:rPr>
      </w:pPr>
      <w:r>
        <w:rPr>
          <w:rFonts w:hint="eastAsia" w:ascii="宋体" w:hAnsi="宋体"/>
          <w:b/>
          <w:sz w:val="36"/>
          <w:szCs w:val="36"/>
        </w:rPr>
        <w:t>招标编号：</w:t>
      </w:r>
      <w:r>
        <w:rPr>
          <w:rFonts w:hint="eastAsia" w:ascii="宋体" w:hAnsi="宋体"/>
          <w:b/>
          <w:sz w:val="36"/>
          <w:szCs w:val="36"/>
          <w:u w:val="single"/>
        </w:rPr>
        <w:t>0655-</w:t>
      </w:r>
      <w:r>
        <w:rPr>
          <w:rFonts w:hint="eastAsia" w:ascii="宋体" w:hAnsi="宋体"/>
          <w:b/>
          <w:sz w:val="36"/>
          <w:szCs w:val="36"/>
          <w:u w:val="single"/>
          <w:lang w:eastAsia="zh-CN"/>
        </w:rPr>
        <w:t>2141NIT</w:t>
      </w:r>
      <w:r>
        <w:rPr>
          <w:rFonts w:hint="eastAsia" w:ascii="宋体" w:hAnsi="宋体"/>
          <w:b/>
          <w:sz w:val="36"/>
          <w:szCs w:val="36"/>
          <w:u w:val="single"/>
        </w:rPr>
        <w:t>3023N</w:t>
      </w:r>
    </w:p>
    <w:p>
      <w:pPr>
        <w:spacing w:after="0" w:line="760" w:lineRule="exact"/>
        <w:ind w:left="1796" w:right="183" w:rightChars="87" w:hanging="1796" w:hangingChars="497"/>
        <w:rPr>
          <w:rFonts w:ascii="宋体" w:hAnsi="宋体"/>
          <w:b/>
          <w:sz w:val="36"/>
          <w:szCs w:val="36"/>
        </w:rPr>
      </w:pPr>
    </w:p>
    <w:p>
      <w:pPr>
        <w:spacing w:after="0" w:line="760" w:lineRule="exact"/>
        <w:ind w:left="1796" w:right="183" w:rightChars="87" w:hanging="1796" w:hangingChars="497"/>
        <w:rPr>
          <w:rFonts w:ascii="宋体" w:hAnsi="宋体"/>
          <w:sz w:val="36"/>
          <w:szCs w:val="36"/>
          <w:u w:val="single"/>
        </w:rPr>
      </w:pPr>
      <w:r>
        <w:rPr>
          <w:rFonts w:hint="eastAsia" w:ascii="宋体" w:hAnsi="宋体"/>
          <w:b/>
          <w:sz w:val="36"/>
          <w:szCs w:val="36"/>
        </w:rPr>
        <w:t>项目名称：</w:t>
      </w:r>
      <w:r>
        <w:rPr>
          <w:rFonts w:hint="eastAsia" w:ascii="宋体" w:hAnsi="宋体"/>
          <w:b/>
          <w:sz w:val="36"/>
          <w:szCs w:val="36"/>
          <w:u w:val="single"/>
        </w:rPr>
        <w:t>北京航空航天大学宁波创新研究院矢量网络分析仪、表面轮廓仪采购及安装项目</w:t>
      </w:r>
    </w:p>
    <w:p>
      <w:pPr>
        <w:spacing w:after="0"/>
        <w:rPr>
          <w:rFonts w:ascii="宋体" w:hAnsi="宋体"/>
          <w:b/>
          <w:sz w:val="44"/>
          <w:szCs w:val="44"/>
        </w:rPr>
      </w:pPr>
    </w:p>
    <w:p>
      <w:pPr>
        <w:spacing w:after="0"/>
        <w:rPr>
          <w:rFonts w:ascii="宋体" w:hAnsi="宋体"/>
          <w:b/>
          <w:sz w:val="44"/>
          <w:szCs w:val="44"/>
        </w:rPr>
      </w:pPr>
    </w:p>
    <w:p>
      <w:pPr>
        <w:snapToGrid w:val="0"/>
        <w:spacing w:after="0" w:line="600" w:lineRule="exact"/>
        <w:jc w:val="left"/>
        <w:rPr>
          <w:rFonts w:ascii="宋体" w:hAnsi="宋体"/>
          <w:b/>
          <w:sz w:val="32"/>
          <w:szCs w:val="28"/>
        </w:rPr>
      </w:pPr>
      <w:r>
        <w:rPr>
          <w:rFonts w:hint="eastAsia" w:ascii="宋体" w:hAnsi="宋体"/>
          <w:b/>
          <w:sz w:val="32"/>
          <w:szCs w:val="28"/>
        </w:rPr>
        <w:t>招标人：北京航空航天大学宁波创新研究院</w:t>
      </w:r>
    </w:p>
    <w:p>
      <w:pPr>
        <w:snapToGrid w:val="0"/>
        <w:spacing w:after="0" w:line="600" w:lineRule="exact"/>
        <w:jc w:val="left"/>
        <w:rPr>
          <w:rFonts w:ascii="宋体" w:hAnsi="宋体"/>
          <w:b/>
          <w:sz w:val="32"/>
          <w:szCs w:val="28"/>
        </w:rPr>
      </w:pPr>
    </w:p>
    <w:p>
      <w:pPr>
        <w:snapToGrid w:val="0"/>
        <w:spacing w:after="0" w:line="600" w:lineRule="exact"/>
        <w:jc w:val="left"/>
        <w:rPr>
          <w:rFonts w:ascii="宋体" w:hAnsi="宋体"/>
          <w:b/>
          <w:sz w:val="32"/>
          <w:szCs w:val="28"/>
        </w:rPr>
      </w:pPr>
      <w:r>
        <w:rPr>
          <w:rFonts w:hint="eastAsia" w:ascii="宋体" w:hAnsi="宋体"/>
          <w:b/>
          <w:sz w:val="32"/>
          <w:szCs w:val="28"/>
        </w:rPr>
        <w:t>招标代理机构：宁波市国际招标有限公司</w:t>
      </w:r>
    </w:p>
    <w:p>
      <w:pPr>
        <w:snapToGrid w:val="0"/>
        <w:spacing w:after="0" w:line="600" w:lineRule="exact"/>
        <w:jc w:val="left"/>
        <w:rPr>
          <w:rFonts w:ascii="宋体" w:hAnsi="宋体"/>
          <w:b/>
          <w:sz w:val="32"/>
          <w:szCs w:val="28"/>
        </w:rPr>
      </w:pPr>
    </w:p>
    <w:p>
      <w:pPr>
        <w:snapToGrid w:val="0"/>
        <w:spacing w:after="0" w:line="600" w:lineRule="exact"/>
        <w:jc w:val="left"/>
        <w:rPr>
          <w:rFonts w:ascii="宋体" w:hAnsi="宋体"/>
          <w:b/>
          <w:sz w:val="32"/>
          <w:szCs w:val="28"/>
        </w:rPr>
      </w:pPr>
      <w:r>
        <w:rPr>
          <w:rFonts w:hint="eastAsia" w:ascii="宋体" w:hAnsi="宋体"/>
          <w:b/>
          <w:sz w:val="32"/>
          <w:szCs w:val="28"/>
        </w:rPr>
        <w:t>编制</w:t>
      </w:r>
      <w:r>
        <w:rPr>
          <w:rFonts w:ascii="宋体" w:hAnsi="宋体"/>
          <w:b/>
          <w:sz w:val="32"/>
          <w:szCs w:val="28"/>
        </w:rPr>
        <w:t>日期：</w:t>
      </w:r>
      <w:r>
        <w:rPr>
          <w:rFonts w:hint="eastAsia" w:ascii="宋体" w:hAnsi="宋体"/>
          <w:b/>
          <w:sz w:val="32"/>
          <w:szCs w:val="28"/>
        </w:rPr>
        <w:t>二○二一年九月</w:t>
      </w:r>
    </w:p>
    <w:p>
      <w:pPr>
        <w:widowControl/>
        <w:adjustRightInd/>
        <w:spacing w:after="0" w:line="240" w:lineRule="auto"/>
        <w:jc w:val="left"/>
        <w:rPr>
          <w:rFonts w:ascii="宋体" w:hAnsi="宋体"/>
          <w:b/>
          <w:sz w:val="44"/>
        </w:rPr>
      </w:pPr>
      <w:r>
        <w:rPr>
          <w:rFonts w:ascii="宋体" w:hAnsi="宋体"/>
          <w:b/>
          <w:sz w:val="44"/>
        </w:rPr>
        <w:br w:type="page"/>
      </w:r>
    </w:p>
    <w:p>
      <w:pPr>
        <w:pStyle w:val="27"/>
        <w:rPr>
          <w:rFonts w:ascii="宋体" w:hAnsi="宋体"/>
          <w:szCs w:val="28"/>
        </w:rPr>
      </w:pPr>
      <w:bookmarkStart w:id="0" w:name="_Toc9436"/>
      <w:bookmarkStart w:id="1" w:name="_Toc421307266"/>
      <w:r>
        <w:rPr>
          <w:rFonts w:hint="eastAsia" w:ascii="宋体" w:hAnsi="宋体"/>
          <w:sz w:val="32"/>
          <w:szCs w:val="32"/>
        </w:rPr>
        <w:t xml:space="preserve"> 投标邀请（招标公告）</w:t>
      </w:r>
      <w:bookmarkEnd w:id="0"/>
      <w:bookmarkEnd w:id="1"/>
    </w:p>
    <w:p>
      <w:pPr>
        <w:spacing w:after="0" w:line="360" w:lineRule="exact"/>
        <w:rPr>
          <w:rFonts w:ascii="宋体" w:hAnsi="宋体"/>
          <w:szCs w:val="21"/>
        </w:rPr>
      </w:pPr>
      <w:r>
        <w:rPr>
          <w:rFonts w:hint="eastAsia" w:ascii="宋体" w:hAnsi="宋体"/>
          <w:szCs w:val="21"/>
        </w:rPr>
        <w:t>公告日期：202</w:t>
      </w:r>
      <w:r>
        <w:rPr>
          <w:rFonts w:ascii="宋体" w:hAnsi="宋体"/>
          <w:szCs w:val="21"/>
        </w:rPr>
        <w:t>1</w:t>
      </w:r>
      <w:r>
        <w:rPr>
          <w:rFonts w:hint="eastAsia" w:ascii="宋体" w:hAnsi="宋体"/>
          <w:szCs w:val="21"/>
        </w:rPr>
        <w:t>年9月</w:t>
      </w:r>
      <w:r>
        <w:rPr>
          <w:rFonts w:hint="eastAsia" w:ascii="宋体" w:hAnsi="宋体"/>
          <w:szCs w:val="21"/>
          <w:lang w:val="en-US" w:eastAsia="zh-CN"/>
        </w:rPr>
        <w:t>14</w:t>
      </w:r>
      <w:r>
        <w:rPr>
          <w:rFonts w:hint="eastAsia" w:ascii="宋体" w:hAnsi="宋体"/>
          <w:szCs w:val="21"/>
        </w:rPr>
        <w:t>日</w:t>
      </w:r>
    </w:p>
    <w:p>
      <w:pPr>
        <w:spacing w:after="0" w:line="360" w:lineRule="exact"/>
        <w:rPr>
          <w:rFonts w:ascii="宋体" w:hAnsi="宋体"/>
          <w:szCs w:val="21"/>
        </w:rPr>
      </w:pPr>
      <w:r>
        <w:rPr>
          <w:rFonts w:hint="eastAsia" w:ascii="宋体" w:hAnsi="宋体"/>
          <w:szCs w:val="21"/>
        </w:rPr>
        <w:t>一、</w:t>
      </w:r>
      <w:r>
        <w:rPr>
          <w:rFonts w:hint="eastAsia" w:ascii="宋体" w:hAnsi="宋体"/>
          <w:b/>
          <w:szCs w:val="21"/>
        </w:rPr>
        <w:t>招标条件</w:t>
      </w:r>
    </w:p>
    <w:p>
      <w:pPr>
        <w:spacing w:after="0" w:line="360" w:lineRule="exact"/>
        <w:ind w:firstLine="420" w:firstLineChars="200"/>
        <w:rPr>
          <w:rFonts w:ascii="宋体" w:hAnsi="宋体"/>
          <w:szCs w:val="21"/>
        </w:rPr>
      </w:pPr>
      <w:r>
        <w:rPr>
          <w:rFonts w:hint="eastAsia" w:ascii="宋体" w:hAnsi="宋体"/>
          <w:szCs w:val="21"/>
        </w:rPr>
        <w:t>1、项目概况：北京航空航天大学宁波创新研究院矢量网络分析仪、表面轮廓仪采购及安装项目，委托宁波市国际招标有限公司进行国际公开招标。</w:t>
      </w:r>
    </w:p>
    <w:p>
      <w:pPr>
        <w:spacing w:after="0" w:line="360" w:lineRule="exact"/>
        <w:ind w:firstLine="420" w:firstLineChars="200"/>
        <w:rPr>
          <w:rFonts w:ascii="宋体" w:hAnsi="宋体"/>
          <w:szCs w:val="21"/>
        </w:rPr>
      </w:pPr>
      <w:r>
        <w:rPr>
          <w:rFonts w:hint="eastAsia" w:ascii="宋体" w:hAnsi="宋体"/>
          <w:szCs w:val="21"/>
        </w:rPr>
        <w:t>2、资金到位或资金来源落实情况：本项目资金来源已经落实。</w:t>
      </w:r>
    </w:p>
    <w:p>
      <w:pPr>
        <w:spacing w:after="0" w:line="360" w:lineRule="exact"/>
        <w:ind w:firstLine="420" w:firstLineChars="200"/>
        <w:rPr>
          <w:rFonts w:ascii="宋体" w:hAnsi="宋体"/>
          <w:szCs w:val="21"/>
        </w:rPr>
      </w:pPr>
      <w:r>
        <w:rPr>
          <w:rFonts w:hint="eastAsia" w:ascii="宋体" w:hAnsi="宋体"/>
          <w:szCs w:val="21"/>
        </w:rPr>
        <w:t>3、项目已具备招标条件的说明：本项目招标所需的技术资料和其他条件都已具备，符合开展国际招标活动的要求。</w:t>
      </w:r>
    </w:p>
    <w:p>
      <w:pPr>
        <w:spacing w:after="0" w:line="360" w:lineRule="exact"/>
        <w:rPr>
          <w:rFonts w:ascii="宋体" w:hAnsi="宋体"/>
          <w:b/>
          <w:szCs w:val="21"/>
        </w:rPr>
      </w:pPr>
      <w:r>
        <w:rPr>
          <w:rFonts w:hint="eastAsia" w:ascii="宋体" w:hAnsi="宋体"/>
          <w:b/>
          <w:szCs w:val="21"/>
        </w:rPr>
        <w:t>二、招标内容</w:t>
      </w:r>
    </w:p>
    <w:p>
      <w:pPr>
        <w:spacing w:after="0" w:line="360" w:lineRule="exact"/>
        <w:ind w:firstLine="420" w:firstLineChars="200"/>
        <w:rPr>
          <w:rFonts w:ascii="宋体" w:hAnsi="宋体"/>
          <w:szCs w:val="21"/>
        </w:rPr>
      </w:pPr>
      <w:r>
        <w:rPr>
          <w:rFonts w:hint="eastAsia" w:ascii="宋体" w:hAnsi="宋体"/>
          <w:szCs w:val="21"/>
        </w:rPr>
        <w:t>1、招标项目编号：</w:t>
      </w:r>
      <w:r>
        <w:rPr>
          <w:rFonts w:ascii="宋体" w:hAnsi="宋体"/>
          <w:szCs w:val="21"/>
        </w:rPr>
        <w:t>0655-</w:t>
      </w:r>
      <w:r>
        <w:rPr>
          <w:rFonts w:hint="eastAsia" w:ascii="宋体" w:hAnsi="宋体"/>
          <w:szCs w:val="21"/>
          <w:lang w:eastAsia="zh-CN"/>
        </w:rPr>
        <w:t>2141NIT</w:t>
      </w:r>
      <w:r>
        <w:rPr>
          <w:rFonts w:ascii="宋体" w:hAnsi="宋体"/>
          <w:szCs w:val="21"/>
        </w:rPr>
        <w:t>3023N</w:t>
      </w:r>
    </w:p>
    <w:p>
      <w:pPr>
        <w:spacing w:after="0" w:line="360" w:lineRule="exact"/>
        <w:ind w:firstLine="420" w:firstLineChars="200"/>
        <w:rPr>
          <w:rFonts w:ascii="宋体" w:hAnsi="宋体"/>
          <w:szCs w:val="21"/>
        </w:rPr>
      </w:pPr>
      <w:r>
        <w:rPr>
          <w:rFonts w:hint="eastAsia" w:ascii="宋体" w:hAnsi="宋体"/>
          <w:szCs w:val="21"/>
        </w:rPr>
        <w:t>2、招标项目名称：北京航空航天大学宁波创新研究院矢量网络分析仪、表面轮廓仪采购及安装项目</w:t>
      </w:r>
    </w:p>
    <w:p>
      <w:pPr>
        <w:spacing w:after="0" w:line="360" w:lineRule="exact"/>
        <w:ind w:firstLine="420" w:firstLineChars="200"/>
        <w:rPr>
          <w:rFonts w:ascii="宋体" w:hAnsi="宋体"/>
          <w:szCs w:val="21"/>
        </w:rPr>
      </w:pPr>
      <w:r>
        <w:rPr>
          <w:rFonts w:hint="eastAsia" w:ascii="宋体" w:hAnsi="宋体"/>
          <w:szCs w:val="21"/>
        </w:rPr>
        <w:t>3、宁波市国际招标有限公司就北京航空航天大学宁波创新研究院的委托，就本招标项目编号的下列货物和有关服务进行国际公开招标，现邀请合格的投标人提交密封投标。</w:t>
      </w:r>
    </w:p>
    <w:p>
      <w:pPr>
        <w:adjustRightInd/>
        <w:spacing w:after="0" w:line="360" w:lineRule="exact"/>
        <w:rPr>
          <w:rFonts w:ascii="宋体" w:hAnsi="宋体"/>
          <w:szCs w:val="21"/>
        </w:rPr>
      </w:pPr>
      <w:r>
        <w:rPr>
          <w:rFonts w:hint="eastAsia" w:ascii="宋体" w:hAnsi="宋体"/>
          <w:b/>
          <w:szCs w:val="21"/>
        </w:rPr>
        <w:t>货物名称、数量及主要技术规格或用途：</w:t>
      </w:r>
    </w:p>
    <w:tbl>
      <w:tblPr>
        <w:tblStyle w:val="25"/>
        <w:tblW w:w="8612"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994"/>
        <w:gridCol w:w="2156"/>
        <w:gridCol w:w="1134"/>
        <w:gridCol w:w="1984"/>
        <w:gridCol w:w="234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437" w:hRule="atLeast"/>
          <w:jc w:val="center"/>
        </w:trPr>
        <w:tc>
          <w:tcPr>
            <w:tcW w:w="994" w:type="dxa"/>
            <w:tcBorders>
              <w:top w:val="single" w:color="auto" w:sz="4" w:space="0"/>
              <w:left w:val="single" w:color="auto" w:sz="4" w:space="0"/>
              <w:bottom w:val="single" w:color="auto" w:sz="4" w:space="0"/>
              <w:right w:val="single" w:color="auto" w:sz="2" w:space="0"/>
            </w:tcBorders>
            <w:tcMar>
              <w:top w:w="0" w:type="dxa"/>
              <w:left w:w="28" w:type="dxa"/>
              <w:bottom w:w="0" w:type="dxa"/>
              <w:right w:w="28" w:type="dxa"/>
            </w:tcMar>
            <w:vAlign w:val="center"/>
          </w:tcPr>
          <w:p>
            <w:pPr>
              <w:spacing w:after="0" w:line="360" w:lineRule="exact"/>
              <w:jc w:val="center"/>
              <w:rPr>
                <w:rFonts w:ascii="宋体" w:hAnsi="宋体"/>
                <w:b/>
                <w:szCs w:val="21"/>
              </w:rPr>
            </w:pPr>
            <w:r>
              <w:rPr>
                <w:rFonts w:hint="eastAsia" w:ascii="宋体" w:hAnsi="宋体"/>
                <w:b/>
                <w:szCs w:val="21"/>
              </w:rPr>
              <w:t>品目</w:t>
            </w:r>
          </w:p>
        </w:tc>
        <w:tc>
          <w:tcPr>
            <w:tcW w:w="2156" w:type="dxa"/>
            <w:tcBorders>
              <w:top w:val="single" w:color="auto" w:sz="4" w:space="0"/>
              <w:left w:val="single" w:color="auto" w:sz="2" w:space="0"/>
              <w:bottom w:val="single" w:color="auto" w:sz="4" w:space="0"/>
              <w:right w:val="single" w:color="auto" w:sz="2" w:space="0"/>
            </w:tcBorders>
            <w:tcMar>
              <w:top w:w="0" w:type="dxa"/>
              <w:left w:w="28" w:type="dxa"/>
              <w:bottom w:w="0" w:type="dxa"/>
              <w:right w:w="28" w:type="dxa"/>
            </w:tcMar>
            <w:vAlign w:val="center"/>
          </w:tcPr>
          <w:p>
            <w:pPr>
              <w:spacing w:after="0" w:line="360" w:lineRule="exact"/>
              <w:jc w:val="center"/>
              <w:rPr>
                <w:rFonts w:ascii="宋体" w:hAnsi="宋体"/>
                <w:b/>
                <w:szCs w:val="21"/>
              </w:rPr>
            </w:pPr>
            <w:r>
              <w:rPr>
                <w:rFonts w:hint="eastAsia" w:ascii="宋体" w:hAnsi="宋体"/>
                <w:b/>
                <w:szCs w:val="21"/>
              </w:rPr>
              <w:t>设备名称</w:t>
            </w:r>
          </w:p>
        </w:tc>
        <w:tc>
          <w:tcPr>
            <w:tcW w:w="1134" w:type="dxa"/>
            <w:tcBorders>
              <w:top w:val="single" w:color="auto" w:sz="4" w:space="0"/>
              <w:left w:val="single" w:color="auto" w:sz="2" w:space="0"/>
              <w:bottom w:val="single" w:color="auto" w:sz="4" w:space="0"/>
              <w:right w:val="single" w:color="auto" w:sz="2" w:space="0"/>
            </w:tcBorders>
            <w:tcMar>
              <w:top w:w="0" w:type="dxa"/>
              <w:left w:w="28" w:type="dxa"/>
              <w:bottom w:w="0" w:type="dxa"/>
              <w:right w:w="28" w:type="dxa"/>
            </w:tcMar>
            <w:vAlign w:val="center"/>
          </w:tcPr>
          <w:p>
            <w:pPr>
              <w:spacing w:after="0" w:line="360" w:lineRule="exact"/>
              <w:jc w:val="center"/>
              <w:rPr>
                <w:rFonts w:ascii="宋体" w:hAnsi="宋体"/>
                <w:b/>
                <w:szCs w:val="21"/>
              </w:rPr>
            </w:pPr>
            <w:r>
              <w:rPr>
                <w:rFonts w:hint="eastAsia" w:ascii="宋体" w:hAnsi="宋体"/>
                <w:b/>
                <w:szCs w:val="21"/>
              </w:rPr>
              <w:t>数量</w:t>
            </w:r>
          </w:p>
        </w:tc>
        <w:tc>
          <w:tcPr>
            <w:tcW w:w="1984" w:type="dxa"/>
            <w:tcBorders>
              <w:top w:val="single" w:color="auto" w:sz="4" w:space="0"/>
              <w:left w:val="single" w:color="auto" w:sz="2" w:space="0"/>
              <w:bottom w:val="single" w:color="auto" w:sz="4" w:space="0"/>
              <w:right w:val="single" w:color="auto" w:sz="2" w:space="0"/>
            </w:tcBorders>
            <w:vAlign w:val="center"/>
          </w:tcPr>
          <w:p>
            <w:pPr>
              <w:spacing w:after="0" w:line="360" w:lineRule="exact"/>
              <w:jc w:val="center"/>
              <w:rPr>
                <w:rFonts w:hint="eastAsia" w:ascii="宋体" w:hAnsi="宋体" w:eastAsia="宋体"/>
                <w:b/>
                <w:szCs w:val="21"/>
                <w:lang w:eastAsia="zh-CN"/>
              </w:rPr>
            </w:pPr>
            <w:r>
              <w:rPr>
                <w:rFonts w:hint="eastAsia" w:ascii="宋体" w:hAnsi="宋体"/>
                <w:b/>
                <w:szCs w:val="21"/>
              </w:rPr>
              <w:t>预算</w:t>
            </w:r>
          </w:p>
        </w:tc>
        <w:tc>
          <w:tcPr>
            <w:tcW w:w="2344" w:type="dxa"/>
            <w:tcBorders>
              <w:top w:val="single" w:color="auto" w:sz="4" w:space="0"/>
              <w:left w:val="single" w:color="auto" w:sz="2" w:space="0"/>
              <w:bottom w:val="single" w:color="auto" w:sz="4" w:space="0"/>
              <w:right w:val="single" w:color="auto" w:sz="2" w:space="0"/>
            </w:tcBorders>
            <w:tcMar>
              <w:top w:w="0" w:type="dxa"/>
              <w:left w:w="28" w:type="dxa"/>
              <w:bottom w:w="0" w:type="dxa"/>
              <w:right w:w="28" w:type="dxa"/>
            </w:tcMar>
            <w:vAlign w:val="center"/>
          </w:tcPr>
          <w:p>
            <w:pPr>
              <w:spacing w:after="0" w:line="360" w:lineRule="exact"/>
              <w:jc w:val="center"/>
              <w:rPr>
                <w:rFonts w:ascii="宋体" w:hAnsi="宋体"/>
                <w:b/>
                <w:szCs w:val="21"/>
              </w:rPr>
            </w:pPr>
            <w:r>
              <w:rPr>
                <w:rFonts w:hint="eastAsia" w:ascii="宋体" w:hAnsi="宋体"/>
                <w:b/>
                <w:szCs w:val="21"/>
              </w:rPr>
              <w:t>技术要求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90" w:hRule="atLeast"/>
          <w:jc w:val="center"/>
        </w:trPr>
        <w:tc>
          <w:tcPr>
            <w:tcW w:w="994" w:type="dxa"/>
            <w:tcBorders>
              <w:top w:val="single" w:color="auto" w:sz="2" w:space="0"/>
              <w:left w:val="single" w:color="auto" w:sz="4" w:space="0"/>
              <w:bottom w:val="single" w:color="auto" w:sz="2" w:space="0"/>
              <w:right w:val="single" w:color="auto" w:sz="2" w:space="0"/>
            </w:tcBorders>
            <w:tcMar>
              <w:top w:w="0" w:type="dxa"/>
              <w:left w:w="28" w:type="dxa"/>
              <w:bottom w:w="0" w:type="dxa"/>
              <w:right w:w="28" w:type="dxa"/>
            </w:tcMar>
            <w:vAlign w:val="center"/>
          </w:tcPr>
          <w:p>
            <w:pPr>
              <w:spacing w:after="0" w:line="360" w:lineRule="exact"/>
              <w:jc w:val="center"/>
              <w:rPr>
                <w:rFonts w:ascii="宋体" w:hAnsi="宋体" w:cs="Helvetica-Bold"/>
                <w:bCs/>
                <w:szCs w:val="21"/>
              </w:rPr>
            </w:pPr>
            <w:r>
              <w:rPr>
                <w:rFonts w:hint="eastAsia" w:ascii="宋体" w:hAnsi="宋体" w:cs="Helvetica-Bold"/>
                <w:bCs/>
                <w:szCs w:val="21"/>
              </w:rPr>
              <w:t>一</w:t>
            </w:r>
          </w:p>
        </w:tc>
        <w:tc>
          <w:tcPr>
            <w:tcW w:w="2156" w:type="dxa"/>
            <w:tcBorders>
              <w:top w:val="single" w:color="auto" w:sz="4" w:space="0"/>
              <w:left w:val="single" w:color="auto" w:sz="2" w:space="0"/>
              <w:bottom w:val="single" w:color="auto" w:sz="4" w:space="0"/>
              <w:right w:val="single" w:color="auto" w:sz="2" w:space="0"/>
            </w:tcBorders>
            <w:tcMar>
              <w:top w:w="0" w:type="dxa"/>
              <w:left w:w="28" w:type="dxa"/>
              <w:bottom w:w="0" w:type="dxa"/>
              <w:right w:w="28" w:type="dxa"/>
            </w:tcMar>
            <w:vAlign w:val="center"/>
          </w:tcPr>
          <w:p>
            <w:pPr>
              <w:spacing w:after="0" w:line="360" w:lineRule="exact"/>
              <w:jc w:val="center"/>
              <w:rPr>
                <w:rFonts w:ascii="宋体" w:hAnsi="宋体" w:cs="Helvetica-Bold"/>
                <w:bCs/>
                <w:szCs w:val="21"/>
              </w:rPr>
            </w:pPr>
            <w:r>
              <w:rPr>
                <w:rFonts w:hint="eastAsia" w:ascii="宋体" w:hAnsi="宋体" w:cs="Helvetica-Bold"/>
                <w:bCs/>
                <w:szCs w:val="21"/>
              </w:rPr>
              <w:t>矢量网络分析仪</w:t>
            </w:r>
          </w:p>
        </w:tc>
        <w:tc>
          <w:tcPr>
            <w:tcW w:w="1134" w:type="dxa"/>
            <w:tcBorders>
              <w:top w:val="single" w:color="auto" w:sz="4" w:space="0"/>
              <w:left w:val="single" w:color="auto" w:sz="2" w:space="0"/>
              <w:bottom w:val="single" w:color="auto" w:sz="4" w:space="0"/>
              <w:right w:val="single" w:color="auto" w:sz="2" w:space="0"/>
            </w:tcBorders>
            <w:tcMar>
              <w:top w:w="0" w:type="dxa"/>
              <w:left w:w="28" w:type="dxa"/>
              <w:bottom w:w="0" w:type="dxa"/>
              <w:right w:w="28" w:type="dxa"/>
            </w:tcMar>
            <w:vAlign w:val="center"/>
          </w:tcPr>
          <w:p>
            <w:pPr>
              <w:spacing w:after="0" w:line="360" w:lineRule="exact"/>
              <w:jc w:val="center"/>
              <w:rPr>
                <w:rFonts w:ascii="宋体" w:hAnsi="宋体" w:cs="Helvetica-Bold"/>
                <w:bCs/>
                <w:szCs w:val="21"/>
              </w:rPr>
            </w:pPr>
            <w:r>
              <w:rPr>
                <w:rFonts w:hint="eastAsia" w:ascii="宋体" w:hAnsi="宋体" w:cs="Helvetica-Bold"/>
                <w:bCs/>
                <w:szCs w:val="21"/>
              </w:rPr>
              <w:t>1套</w:t>
            </w:r>
          </w:p>
        </w:tc>
        <w:tc>
          <w:tcPr>
            <w:tcW w:w="1984" w:type="dxa"/>
            <w:tcBorders>
              <w:top w:val="single" w:color="auto" w:sz="2" w:space="0"/>
              <w:left w:val="single" w:color="auto" w:sz="2" w:space="0"/>
              <w:bottom w:val="single" w:color="auto" w:sz="2" w:space="0"/>
              <w:right w:val="single" w:color="auto" w:sz="2" w:space="0"/>
            </w:tcBorders>
            <w:vAlign w:val="center"/>
          </w:tcPr>
          <w:p>
            <w:pPr>
              <w:spacing w:after="0" w:line="360" w:lineRule="exact"/>
              <w:jc w:val="center"/>
              <w:rPr>
                <w:rFonts w:ascii="宋体" w:hAnsi="宋体" w:cs="Helvetica-Bold"/>
                <w:bCs/>
                <w:szCs w:val="21"/>
              </w:rPr>
            </w:pPr>
            <w:r>
              <w:rPr>
                <w:rFonts w:hint="eastAsia" w:ascii="宋体" w:hAnsi="宋体" w:cs="Helvetica-Bold"/>
                <w:bCs/>
                <w:szCs w:val="21"/>
              </w:rPr>
              <w:t>人民币4</w:t>
            </w:r>
            <w:r>
              <w:rPr>
                <w:rFonts w:ascii="宋体" w:hAnsi="宋体" w:cs="Helvetica-Bold"/>
                <w:bCs/>
                <w:szCs w:val="21"/>
              </w:rPr>
              <w:t>8</w:t>
            </w:r>
            <w:r>
              <w:rPr>
                <w:rFonts w:hint="eastAsia" w:ascii="宋体" w:hAnsi="宋体" w:cs="Helvetica-Bold"/>
                <w:bCs/>
                <w:szCs w:val="21"/>
              </w:rPr>
              <w:t>万元</w:t>
            </w:r>
          </w:p>
        </w:tc>
        <w:tc>
          <w:tcPr>
            <w:tcW w:w="2344" w:type="dxa"/>
            <w:tcBorders>
              <w:left w:val="single" w:color="auto" w:sz="2" w:space="0"/>
              <w:right w:val="single" w:color="auto" w:sz="2" w:space="0"/>
            </w:tcBorders>
            <w:tcMar>
              <w:top w:w="0" w:type="dxa"/>
              <w:left w:w="28" w:type="dxa"/>
              <w:bottom w:w="0" w:type="dxa"/>
              <w:right w:w="28" w:type="dxa"/>
            </w:tcMar>
            <w:vAlign w:val="center"/>
          </w:tcPr>
          <w:p>
            <w:pPr>
              <w:spacing w:after="0" w:line="360" w:lineRule="exact"/>
              <w:jc w:val="center"/>
              <w:rPr>
                <w:rFonts w:ascii="宋体" w:hAnsi="宋体" w:cs="Helvetica-Bold"/>
                <w:bCs/>
                <w:szCs w:val="21"/>
              </w:rPr>
            </w:pPr>
            <w:r>
              <w:rPr>
                <w:rFonts w:hint="eastAsia" w:ascii="宋体" w:hAnsi="宋体" w:cs="宋体"/>
                <w:szCs w:val="21"/>
              </w:rPr>
              <w:t>详见招标文件第八章</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90" w:hRule="atLeast"/>
          <w:jc w:val="center"/>
        </w:trPr>
        <w:tc>
          <w:tcPr>
            <w:tcW w:w="994" w:type="dxa"/>
            <w:tcBorders>
              <w:top w:val="single" w:color="auto" w:sz="2" w:space="0"/>
              <w:left w:val="single" w:color="auto" w:sz="4" w:space="0"/>
              <w:bottom w:val="single" w:color="auto" w:sz="2" w:space="0"/>
              <w:right w:val="single" w:color="auto" w:sz="2" w:space="0"/>
            </w:tcBorders>
            <w:tcMar>
              <w:top w:w="0" w:type="dxa"/>
              <w:left w:w="28" w:type="dxa"/>
              <w:bottom w:w="0" w:type="dxa"/>
              <w:right w:w="28" w:type="dxa"/>
            </w:tcMar>
            <w:vAlign w:val="center"/>
          </w:tcPr>
          <w:p>
            <w:pPr>
              <w:spacing w:after="0" w:line="360" w:lineRule="exact"/>
              <w:jc w:val="center"/>
              <w:rPr>
                <w:rFonts w:ascii="宋体" w:hAnsi="宋体" w:cs="Helvetica-Bold"/>
                <w:bCs/>
                <w:szCs w:val="21"/>
              </w:rPr>
            </w:pPr>
            <w:r>
              <w:rPr>
                <w:rFonts w:hint="eastAsia" w:ascii="宋体" w:hAnsi="宋体" w:cs="Helvetica-Bold"/>
                <w:bCs/>
                <w:szCs w:val="21"/>
              </w:rPr>
              <w:t>二</w:t>
            </w:r>
          </w:p>
        </w:tc>
        <w:tc>
          <w:tcPr>
            <w:tcW w:w="2156" w:type="dxa"/>
            <w:tcBorders>
              <w:top w:val="single" w:color="auto" w:sz="4" w:space="0"/>
              <w:left w:val="single" w:color="auto" w:sz="2" w:space="0"/>
              <w:bottom w:val="single" w:color="auto" w:sz="4" w:space="0"/>
              <w:right w:val="single" w:color="auto" w:sz="2" w:space="0"/>
            </w:tcBorders>
            <w:tcMar>
              <w:top w:w="0" w:type="dxa"/>
              <w:left w:w="28" w:type="dxa"/>
              <w:bottom w:w="0" w:type="dxa"/>
              <w:right w:w="28" w:type="dxa"/>
            </w:tcMar>
            <w:vAlign w:val="center"/>
          </w:tcPr>
          <w:p>
            <w:pPr>
              <w:spacing w:after="0" w:line="360" w:lineRule="exact"/>
              <w:jc w:val="center"/>
              <w:rPr>
                <w:rFonts w:ascii="宋体" w:hAnsi="宋体" w:cs="Helvetica-Bold"/>
                <w:bCs/>
                <w:szCs w:val="21"/>
                <w:lang w:eastAsia="zh-Hans"/>
              </w:rPr>
            </w:pPr>
            <w:r>
              <w:rPr>
                <w:rFonts w:hint="eastAsia" w:ascii="宋体" w:hAnsi="宋体" w:cs="Helvetica-Bold"/>
                <w:bCs/>
                <w:szCs w:val="21"/>
                <w:lang w:eastAsia="zh-Hans"/>
              </w:rPr>
              <w:t>表面轮廓仪</w:t>
            </w:r>
          </w:p>
        </w:tc>
        <w:tc>
          <w:tcPr>
            <w:tcW w:w="1134" w:type="dxa"/>
            <w:tcBorders>
              <w:top w:val="single" w:color="auto" w:sz="4" w:space="0"/>
              <w:left w:val="single" w:color="auto" w:sz="2" w:space="0"/>
              <w:bottom w:val="single" w:color="auto" w:sz="4" w:space="0"/>
              <w:right w:val="single" w:color="auto" w:sz="2" w:space="0"/>
            </w:tcBorders>
            <w:tcMar>
              <w:top w:w="0" w:type="dxa"/>
              <w:left w:w="28" w:type="dxa"/>
              <w:bottom w:w="0" w:type="dxa"/>
              <w:right w:w="28" w:type="dxa"/>
            </w:tcMar>
            <w:vAlign w:val="center"/>
          </w:tcPr>
          <w:p>
            <w:pPr>
              <w:spacing w:after="0" w:line="360" w:lineRule="exact"/>
              <w:jc w:val="center"/>
              <w:rPr>
                <w:rFonts w:ascii="宋体" w:hAnsi="宋体" w:cs="Helvetica-Bold"/>
                <w:bCs/>
                <w:szCs w:val="21"/>
              </w:rPr>
            </w:pPr>
            <w:r>
              <w:rPr>
                <w:rFonts w:hint="eastAsia" w:ascii="宋体" w:hAnsi="宋体" w:cs="Helvetica-Bold"/>
                <w:bCs/>
                <w:szCs w:val="21"/>
              </w:rPr>
              <w:t>1套</w:t>
            </w:r>
          </w:p>
        </w:tc>
        <w:tc>
          <w:tcPr>
            <w:tcW w:w="1984" w:type="dxa"/>
            <w:tcBorders>
              <w:top w:val="single" w:color="auto" w:sz="2" w:space="0"/>
              <w:left w:val="single" w:color="auto" w:sz="2" w:space="0"/>
              <w:bottom w:val="single" w:color="auto" w:sz="2" w:space="0"/>
              <w:right w:val="single" w:color="auto" w:sz="2" w:space="0"/>
            </w:tcBorders>
            <w:vAlign w:val="center"/>
          </w:tcPr>
          <w:p>
            <w:pPr>
              <w:spacing w:after="0" w:line="360" w:lineRule="exact"/>
              <w:jc w:val="center"/>
              <w:rPr>
                <w:rFonts w:ascii="宋体" w:hAnsi="宋体" w:cs="Helvetica-Bold"/>
                <w:bCs/>
                <w:szCs w:val="21"/>
              </w:rPr>
            </w:pPr>
            <w:r>
              <w:rPr>
                <w:rFonts w:hint="eastAsia" w:ascii="宋体" w:hAnsi="宋体" w:cs="Helvetica-Bold"/>
                <w:bCs/>
                <w:szCs w:val="21"/>
              </w:rPr>
              <w:t>人民币4</w:t>
            </w:r>
            <w:r>
              <w:rPr>
                <w:rFonts w:ascii="宋体" w:hAnsi="宋体" w:cs="Helvetica-Bold"/>
                <w:bCs/>
                <w:szCs w:val="21"/>
              </w:rPr>
              <w:t>5</w:t>
            </w:r>
            <w:r>
              <w:rPr>
                <w:rFonts w:hint="eastAsia" w:ascii="宋体" w:hAnsi="宋体" w:cs="Helvetica-Bold"/>
                <w:bCs/>
                <w:szCs w:val="21"/>
              </w:rPr>
              <w:t>万元</w:t>
            </w:r>
          </w:p>
        </w:tc>
        <w:tc>
          <w:tcPr>
            <w:tcW w:w="2344" w:type="dxa"/>
            <w:tcBorders>
              <w:left w:val="single" w:color="auto" w:sz="2" w:space="0"/>
              <w:right w:val="single" w:color="auto" w:sz="2" w:space="0"/>
            </w:tcBorders>
            <w:tcMar>
              <w:top w:w="0" w:type="dxa"/>
              <w:left w:w="28" w:type="dxa"/>
              <w:bottom w:w="0" w:type="dxa"/>
              <w:right w:w="28" w:type="dxa"/>
            </w:tcMar>
            <w:vAlign w:val="center"/>
          </w:tcPr>
          <w:p>
            <w:pPr>
              <w:spacing w:after="0" w:line="360" w:lineRule="exact"/>
              <w:jc w:val="center"/>
              <w:rPr>
                <w:rFonts w:ascii="宋体" w:hAnsi="宋体" w:cs="宋体"/>
                <w:szCs w:val="21"/>
              </w:rPr>
            </w:pPr>
            <w:r>
              <w:rPr>
                <w:rFonts w:hint="eastAsia" w:ascii="宋体" w:hAnsi="宋体" w:cs="宋体"/>
                <w:szCs w:val="21"/>
              </w:rPr>
              <w:t>详见招标文件第八章</w:t>
            </w:r>
          </w:p>
        </w:tc>
      </w:tr>
    </w:tbl>
    <w:p>
      <w:pPr>
        <w:spacing w:after="0" w:line="360" w:lineRule="exact"/>
        <w:rPr>
          <w:rFonts w:ascii="宋体" w:hAnsi="宋体"/>
          <w:b/>
          <w:szCs w:val="21"/>
        </w:rPr>
      </w:pPr>
      <w:r>
        <w:rPr>
          <w:rFonts w:hint="eastAsia" w:ascii="宋体" w:hAnsi="宋体"/>
          <w:b/>
          <w:szCs w:val="21"/>
        </w:rPr>
        <w:t>三、投标人资格要求</w:t>
      </w:r>
    </w:p>
    <w:p>
      <w:pPr>
        <w:widowControl/>
        <w:spacing w:after="0" w:line="360" w:lineRule="exact"/>
        <w:ind w:firstLine="420" w:firstLineChars="200"/>
        <w:jc w:val="left"/>
        <w:rPr>
          <w:rFonts w:ascii="宋体" w:hAnsi="宋体" w:cs="宋体"/>
          <w:szCs w:val="21"/>
        </w:rPr>
      </w:pPr>
      <w:r>
        <w:rPr>
          <w:rFonts w:hint="eastAsia" w:ascii="宋体" w:hAnsi="宋体" w:cs="宋体"/>
          <w:szCs w:val="21"/>
        </w:rPr>
        <w:t>（1）投标人是响应招标、已在招标人或招标机构处领购招标文件并参加投标竞争的法人或其他组织。任何未在招标人或招标机构处领购招标文件的法人或其他组织均不得参加投标。</w:t>
      </w:r>
    </w:p>
    <w:p>
      <w:pPr>
        <w:widowControl/>
        <w:spacing w:after="0" w:line="360" w:lineRule="exact"/>
        <w:ind w:firstLine="420" w:firstLineChars="200"/>
        <w:jc w:val="left"/>
        <w:rPr>
          <w:rFonts w:ascii="宋体" w:hAnsi="宋体" w:cs="宋体"/>
          <w:szCs w:val="21"/>
        </w:rPr>
      </w:pPr>
      <w:r>
        <w:rPr>
          <w:rFonts w:hint="eastAsia" w:ascii="宋体" w:hAnsi="宋体" w:cs="宋体"/>
          <w:szCs w:val="21"/>
        </w:rPr>
        <w:t>（2）除非另有规定，凡是来自中华人民共和国或是与中华人民共和国有正常贸易往来的国家或地区(以下简称“合格来源国/地区”)的法人或其他组织均可投标。</w:t>
      </w:r>
    </w:p>
    <w:p>
      <w:pPr>
        <w:spacing w:after="0" w:line="360" w:lineRule="exact"/>
        <w:ind w:firstLine="420" w:firstLineChars="200"/>
        <w:rPr>
          <w:rFonts w:ascii="宋体" w:hAnsi="宋体"/>
          <w:szCs w:val="21"/>
        </w:rPr>
      </w:pPr>
      <w:r>
        <w:rPr>
          <w:rFonts w:hint="eastAsia" w:ascii="宋体" w:hAnsi="宋体" w:cs="宋体"/>
          <w:szCs w:val="21"/>
        </w:rPr>
        <w:t>（3）</w:t>
      </w:r>
      <w:r>
        <w:rPr>
          <w:rFonts w:hint="eastAsia" w:ascii="宋体" w:hAnsi="宋体"/>
          <w:szCs w:val="21"/>
        </w:rPr>
        <w:t>与招标人存在利害关系可能影响招标公正性的法人或其他组织不得参加投标。存在利害关系的投标人是指：</w:t>
      </w:r>
    </w:p>
    <w:p>
      <w:pPr>
        <w:spacing w:after="0" w:line="360" w:lineRule="exact"/>
        <w:ind w:firstLine="420" w:firstLineChars="200"/>
        <w:rPr>
          <w:rFonts w:ascii="宋体" w:hAnsi="宋体"/>
          <w:szCs w:val="21"/>
        </w:rPr>
      </w:pPr>
      <w:r>
        <w:rPr>
          <w:rFonts w:hint="eastAsia" w:ascii="宋体" w:hAnsi="宋体"/>
          <w:szCs w:val="21"/>
        </w:rPr>
        <w:t>1）北京航空航天大学、北京航空航天大学宁波创新研究院在该投标人中有股份的。</w:t>
      </w:r>
    </w:p>
    <w:p>
      <w:pPr>
        <w:spacing w:after="0" w:line="360" w:lineRule="exact"/>
        <w:ind w:firstLine="420" w:firstLineChars="200"/>
        <w:rPr>
          <w:rFonts w:ascii="宋体" w:hAnsi="宋体"/>
          <w:szCs w:val="21"/>
        </w:rPr>
      </w:pPr>
      <w:r>
        <w:rPr>
          <w:rFonts w:hint="eastAsia" w:ascii="宋体" w:hAnsi="宋体"/>
          <w:szCs w:val="21"/>
        </w:rPr>
        <w:t>2）项目负责人、项目主要成员及经办人在该投标人中有股份或任职的。</w:t>
      </w:r>
    </w:p>
    <w:p>
      <w:pPr>
        <w:widowControl/>
        <w:spacing w:after="0" w:line="360" w:lineRule="exact"/>
        <w:ind w:firstLine="420" w:firstLineChars="200"/>
        <w:jc w:val="left"/>
        <w:rPr>
          <w:rFonts w:ascii="宋体" w:hAnsi="宋体" w:cs="宋体"/>
          <w:szCs w:val="21"/>
        </w:rPr>
      </w:pPr>
      <w:r>
        <w:rPr>
          <w:rFonts w:hint="eastAsia" w:ascii="宋体" w:hAnsi="宋体" w:cs="宋体"/>
          <w:szCs w:val="21"/>
        </w:rPr>
        <w:t>（4）接受委托参与项目前期咨询和招标文件编制的法人或其他组织不得参加受托项目的投标，也不得为该项目的投标人编制投标文件或者提供咨询。</w:t>
      </w:r>
    </w:p>
    <w:p>
      <w:pPr>
        <w:widowControl/>
        <w:spacing w:after="0" w:line="360" w:lineRule="exact"/>
        <w:ind w:firstLine="420" w:firstLineChars="200"/>
        <w:jc w:val="left"/>
        <w:rPr>
          <w:rFonts w:ascii="宋体" w:hAnsi="宋体" w:cs="宋体"/>
          <w:szCs w:val="21"/>
        </w:rPr>
      </w:pPr>
      <w:r>
        <w:rPr>
          <w:rFonts w:hint="eastAsia" w:ascii="宋体" w:hAnsi="宋体" w:cs="宋体"/>
          <w:szCs w:val="21"/>
        </w:rPr>
        <w:t xml:space="preserve">（5）单位负责人为同一人或者存在控股、管理关系的不同单位，不得参加同一招标项目包投标，共同组成联合体投标的除外。 </w:t>
      </w:r>
    </w:p>
    <w:p>
      <w:pPr>
        <w:widowControl/>
        <w:spacing w:after="0" w:line="360" w:lineRule="exact"/>
        <w:ind w:firstLine="420" w:firstLineChars="200"/>
        <w:jc w:val="left"/>
        <w:rPr>
          <w:rFonts w:ascii="宋体" w:hAnsi="宋体" w:cs="宋体"/>
          <w:szCs w:val="21"/>
        </w:rPr>
      </w:pPr>
      <w:r>
        <w:rPr>
          <w:rFonts w:hint="eastAsia" w:ascii="宋体" w:hAnsi="宋体" w:cs="宋体"/>
          <w:szCs w:val="21"/>
        </w:rPr>
        <w:t xml:space="preserve">（6）只有在法律上和财务上独立、合法运作并独立于招标人和招标机构的供货人才能参加投标。 </w:t>
      </w:r>
    </w:p>
    <w:p>
      <w:pPr>
        <w:widowControl/>
        <w:spacing w:after="0" w:line="360" w:lineRule="exact"/>
        <w:ind w:firstLine="420" w:firstLineChars="200"/>
        <w:jc w:val="left"/>
        <w:rPr>
          <w:rFonts w:ascii="宋体" w:hAnsi="宋体" w:cs="宋体"/>
          <w:szCs w:val="21"/>
        </w:rPr>
      </w:pPr>
      <w:r>
        <w:rPr>
          <w:rFonts w:hint="eastAsia" w:ascii="宋体" w:hAnsi="宋体" w:cs="宋体"/>
          <w:szCs w:val="21"/>
        </w:rPr>
        <w:t xml:space="preserve">（7）近三年内(本项目招标截止期前)被“信用中国”网站列入失信被执行人和重大税收违法案件当事人名单的、被“中国政府采购网”网站列入政府采购严重违法失信 行为记录名单(处罚期限尚未届满的)，不得参与本项目。 </w:t>
      </w:r>
    </w:p>
    <w:p>
      <w:pPr>
        <w:widowControl/>
        <w:spacing w:after="0" w:line="360" w:lineRule="exact"/>
        <w:ind w:firstLine="420" w:firstLineChars="200"/>
        <w:jc w:val="left"/>
        <w:rPr>
          <w:rFonts w:ascii="宋体" w:hAnsi="宋体" w:cs="宋体"/>
          <w:b/>
          <w:szCs w:val="21"/>
        </w:rPr>
      </w:pPr>
      <w:r>
        <w:rPr>
          <w:rFonts w:hint="eastAsia" w:ascii="宋体" w:hAnsi="宋体" w:cs="宋体"/>
          <w:szCs w:val="21"/>
        </w:rPr>
        <w:t>（</w:t>
      </w:r>
      <w:r>
        <w:rPr>
          <w:rFonts w:ascii="宋体" w:hAnsi="宋体" w:cs="宋体"/>
          <w:b/>
          <w:szCs w:val="21"/>
        </w:rPr>
        <w:t>8</w:t>
      </w:r>
      <w:r>
        <w:rPr>
          <w:rFonts w:hint="eastAsia" w:ascii="宋体" w:hAnsi="宋体" w:cs="宋体"/>
          <w:b/>
          <w:szCs w:val="21"/>
        </w:rPr>
        <w:t>)投标人应当于招标文件载明的投标截止时间前在机电产品招标投标电子交易平台(网址:http://www.chinabidding.com)成功注册。否则，投标人将不能进入招标程序，由此产生的后果由其自行承担。</w:t>
      </w:r>
    </w:p>
    <w:p>
      <w:pPr>
        <w:widowControl/>
        <w:spacing w:after="0" w:line="360" w:lineRule="exact"/>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9</w:t>
      </w:r>
      <w:r>
        <w:rPr>
          <w:rFonts w:hint="eastAsia" w:ascii="宋体" w:hAnsi="宋体" w:cs="宋体"/>
          <w:szCs w:val="21"/>
        </w:rPr>
        <w:t>）本项目不接受联合体投标。</w:t>
      </w:r>
    </w:p>
    <w:p>
      <w:pPr>
        <w:widowControl/>
        <w:spacing w:after="0" w:line="360" w:lineRule="exact"/>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0</w:t>
      </w:r>
      <w:r>
        <w:rPr>
          <w:rFonts w:hint="eastAsia" w:ascii="宋体" w:hAnsi="宋体" w:cs="宋体"/>
          <w:szCs w:val="21"/>
        </w:rPr>
        <w:t>）未购买招标文件的不得参加投标。</w:t>
      </w:r>
    </w:p>
    <w:p>
      <w:pPr>
        <w:spacing w:after="0" w:line="360" w:lineRule="exact"/>
        <w:rPr>
          <w:rFonts w:ascii="宋体" w:hAnsi="宋体"/>
          <w:b/>
          <w:szCs w:val="21"/>
        </w:rPr>
      </w:pPr>
      <w:r>
        <w:rPr>
          <w:rFonts w:hint="eastAsia" w:ascii="宋体" w:hAnsi="宋体"/>
          <w:b/>
          <w:szCs w:val="21"/>
        </w:rPr>
        <w:t>四、招标文件的获取与投标文件的递交</w:t>
      </w:r>
    </w:p>
    <w:p>
      <w:pPr>
        <w:spacing w:after="0" w:line="360" w:lineRule="exact"/>
        <w:ind w:firstLine="420" w:firstLineChars="200"/>
        <w:rPr>
          <w:rFonts w:ascii="宋体" w:hAnsi="宋体"/>
          <w:szCs w:val="21"/>
        </w:rPr>
      </w:pPr>
      <w:r>
        <w:rPr>
          <w:rFonts w:hint="eastAsia" w:ascii="宋体" w:hAnsi="宋体"/>
          <w:szCs w:val="21"/>
        </w:rPr>
        <w:t>1、招标文件售价：售价为每品目500元人民币或70美元，全部以电子文本形式出售，招标文件售后不退。潜在投标人购买招标文件前需要在我公司网站免费注册，成功后才能正常购买（今后即可直接购买），注册程序详见网站首页要求。潜在投标人可通过网上或微信方式进行购买。</w:t>
      </w:r>
    </w:p>
    <w:p>
      <w:pPr>
        <w:spacing w:after="0" w:line="360" w:lineRule="exact"/>
        <w:ind w:firstLine="420" w:firstLineChars="200"/>
        <w:rPr>
          <w:rFonts w:ascii="宋体" w:hAnsi="宋体"/>
          <w:szCs w:val="21"/>
        </w:rPr>
      </w:pPr>
      <w:r>
        <w:rPr>
          <w:rFonts w:hint="eastAsia" w:ascii="宋体" w:hAnsi="宋体"/>
          <w:szCs w:val="21"/>
        </w:rPr>
        <w:t>（1）网上方式购买：请登录我公司网站www.nbbidding.com，进入“招标公告”栏查询到本项目后进行操作。</w:t>
      </w:r>
    </w:p>
    <w:p>
      <w:pPr>
        <w:spacing w:after="0" w:line="360" w:lineRule="exact"/>
        <w:ind w:firstLine="420" w:firstLineChars="200"/>
        <w:rPr>
          <w:rFonts w:ascii="宋体" w:hAnsi="宋体"/>
          <w:szCs w:val="21"/>
        </w:rPr>
      </w:pPr>
      <w:r>
        <w:rPr>
          <w:rFonts w:hint="eastAsia" w:ascii="宋体" w:hAnsi="宋体"/>
          <w:szCs w:val="21"/>
        </w:rPr>
        <w:t>（2）微信方式购买：关注微信公众号“宁波国招”，或扫码我公司网站首页公布的二维码。</w:t>
      </w:r>
    </w:p>
    <w:p>
      <w:pPr>
        <w:spacing w:after="0" w:line="360" w:lineRule="exact"/>
        <w:ind w:firstLine="420" w:firstLineChars="200"/>
        <w:rPr>
          <w:rFonts w:ascii="宋体" w:hAnsi="宋体"/>
          <w:szCs w:val="21"/>
        </w:rPr>
      </w:pPr>
      <w:r>
        <w:rPr>
          <w:rFonts w:hint="eastAsia" w:ascii="宋体" w:hAnsi="宋体"/>
          <w:szCs w:val="21"/>
        </w:rPr>
        <w:t>招标文件费用的支付可选择微信或者支付宝。为了保护投标人信息，防止串通投标，规定同一支付人对同一个品目只能扫码支付一次，如多次支付，经查实只认定第一次支付有效，其后的支付购买一律无效，由此产生的后果由支付人自己承担。</w:t>
      </w:r>
    </w:p>
    <w:p>
      <w:pPr>
        <w:spacing w:after="0" w:line="360" w:lineRule="exact"/>
        <w:ind w:firstLine="420" w:firstLineChars="200"/>
        <w:rPr>
          <w:rFonts w:ascii="宋体" w:hAnsi="宋体"/>
          <w:szCs w:val="21"/>
        </w:rPr>
      </w:pPr>
      <w:r>
        <w:rPr>
          <w:rFonts w:hint="eastAsia" w:ascii="宋体" w:hAnsi="宋体"/>
          <w:szCs w:val="21"/>
        </w:rPr>
        <w:t>招标文件出售联系电话：0574-87386429。</w:t>
      </w:r>
    </w:p>
    <w:p>
      <w:pPr>
        <w:spacing w:after="0" w:line="360" w:lineRule="exact"/>
        <w:ind w:firstLine="420" w:firstLineChars="200"/>
        <w:rPr>
          <w:rFonts w:ascii="宋体" w:hAnsi="宋体"/>
          <w:szCs w:val="21"/>
        </w:rPr>
      </w:pPr>
      <w:r>
        <w:rPr>
          <w:rFonts w:hint="eastAsia" w:ascii="宋体" w:hAnsi="宋体"/>
          <w:szCs w:val="21"/>
        </w:rPr>
        <w:t>2、购买招标文件开始时间：202</w:t>
      </w:r>
      <w:r>
        <w:rPr>
          <w:rFonts w:ascii="宋体" w:hAnsi="宋体"/>
          <w:szCs w:val="21"/>
        </w:rPr>
        <w:t>1</w:t>
      </w:r>
      <w:r>
        <w:rPr>
          <w:rFonts w:hint="eastAsia" w:ascii="宋体" w:hAnsi="宋体"/>
          <w:szCs w:val="21"/>
        </w:rPr>
        <w:t>年9月</w:t>
      </w:r>
      <w:r>
        <w:rPr>
          <w:rFonts w:hint="eastAsia" w:ascii="宋体" w:hAnsi="宋体"/>
          <w:szCs w:val="21"/>
          <w:lang w:val="en-US" w:eastAsia="zh-CN"/>
        </w:rPr>
        <w:t>14</w:t>
      </w:r>
      <w:r>
        <w:rPr>
          <w:rFonts w:hint="eastAsia" w:ascii="宋体" w:hAnsi="宋体"/>
          <w:szCs w:val="21"/>
        </w:rPr>
        <w:t>日起，每天（节假日除外）北京时间08：30—11：30、13：30—17：00。</w:t>
      </w:r>
    </w:p>
    <w:p>
      <w:pPr>
        <w:spacing w:after="0" w:line="360" w:lineRule="exact"/>
        <w:ind w:firstLine="420" w:firstLineChars="200"/>
        <w:rPr>
          <w:rFonts w:ascii="宋体" w:hAnsi="宋体"/>
          <w:szCs w:val="21"/>
        </w:rPr>
      </w:pPr>
      <w:r>
        <w:rPr>
          <w:rFonts w:hint="eastAsia" w:ascii="宋体" w:hAnsi="宋体"/>
          <w:szCs w:val="21"/>
        </w:rPr>
        <w:t>3、购买招标文件截止时间：202</w:t>
      </w:r>
      <w:r>
        <w:rPr>
          <w:rFonts w:ascii="宋体" w:hAnsi="宋体"/>
          <w:szCs w:val="21"/>
        </w:rPr>
        <w:t>1</w:t>
      </w:r>
      <w:r>
        <w:rPr>
          <w:rFonts w:hint="eastAsia" w:ascii="宋体" w:hAnsi="宋体"/>
          <w:szCs w:val="21"/>
        </w:rPr>
        <w:t>年9</w:t>
      </w:r>
      <w:r>
        <w:rPr>
          <w:rFonts w:hint="eastAsia" w:ascii="宋体" w:hAnsi="宋体" w:cs="宋体"/>
          <w:szCs w:val="21"/>
        </w:rPr>
        <w:t>月</w:t>
      </w:r>
      <w:r>
        <w:rPr>
          <w:rFonts w:hint="eastAsia" w:ascii="宋体" w:hAnsi="宋体" w:cs="宋体"/>
          <w:szCs w:val="21"/>
          <w:lang w:val="en-US" w:eastAsia="zh-CN"/>
        </w:rPr>
        <w:t>24</w:t>
      </w:r>
      <w:r>
        <w:rPr>
          <w:rFonts w:hint="eastAsia" w:ascii="宋体" w:hAnsi="宋体" w:cs="宋体"/>
          <w:szCs w:val="21"/>
        </w:rPr>
        <w:t>日</w:t>
      </w:r>
      <w:r>
        <w:rPr>
          <w:rFonts w:hint="eastAsia" w:ascii="宋体" w:hAnsi="宋体"/>
          <w:szCs w:val="21"/>
        </w:rPr>
        <w:t>（北京时间08：30—11：30、13：30—17：00）。</w:t>
      </w:r>
    </w:p>
    <w:p>
      <w:pPr>
        <w:spacing w:after="0" w:line="360" w:lineRule="exact"/>
        <w:ind w:firstLine="420" w:firstLineChars="200"/>
        <w:rPr>
          <w:rFonts w:ascii="宋体" w:hAnsi="宋体"/>
          <w:szCs w:val="21"/>
        </w:rPr>
      </w:pPr>
      <w:r>
        <w:rPr>
          <w:rFonts w:hint="eastAsia" w:ascii="宋体" w:hAnsi="宋体"/>
          <w:szCs w:val="21"/>
        </w:rPr>
        <w:t>4、投标截止时间：所有投标文件应于202</w:t>
      </w:r>
      <w:r>
        <w:rPr>
          <w:rFonts w:ascii="宋体" w:hAnsi="宋体"/>
          <w:szCs w:val="21"/>
        </w:rPr>
        <w:t>1</w:t>
      </w:r>
      <w:r>
        <w:rPr>
          <w:rFonts w:hint="eastAsia" w:ascii="宋体" w:hAnsi="宋体"/>
          <w:szCs w:val="21"/>
        </w:rPr>
        <w:t>年</w:t>
      </w:r>
      <w:r>
        <w:rPr>
          <w:rFonts w:hint="eastAsia" w:ascii="宋体" w:hAnsi="宋体"/>
          <w:szCs w:val="21"/>
          <w:lang w:val="en-US" w:eastAsia="zh-CN"/>
        </w:rPr>
        <w:t>10</w:t>
      </w:r>
      <w:r>
        <w:rPr>
          <w:rFonts w:hint="eastAsia" w:ascii="宋体" w:hAnsi="宋体"/>
          <w:szCs w:val="21"/>
        </w:rPr>
        <w:t>月</w:t>
      </w:r>
      <w:r>
        <w:rPr>
          <w:rFonts w:hint="eastAsia" w:ascii="宋体" w:hAnsi="宋体"/>
          <w:szCs w:val="21"/>
          <w:lang w:val="en-US" w:eastAsia="zh-CN"/>
        </w:rPr>
        <w:t>11</w:t>
      </w:r>
      <w:r>
        <w:rPr>
          <w:rFonts w:hint="eastAsia" w:ascii="宋体" w:hAnsi="宋体"/>
          <w:szCs w:val="21"/>
        </w:rPr>
        <w:t>日14:</w:t>
      </w:r>
      <w:r>
        <w:rPr>
          <w:rFonts w:hint="eastAsia" w:ascii="宋体" w:hAnsi="宋体"/>
          <w:szCs w:val="21"/>
          <w:lang w:val="en-US" w:eastAsia="zh-CN"/>
        </w:rPr>
        <w:t>00</w:t>
      </w:r>
      <w:r>
        <w:rPr>
          <w:rFonts w:hint="eastAsia" w:ascii="宋体" w:hAnsi="宋体"/>
          <w:szCs w:val="21"/>
        </w:rPr>
        <w:t>（北京时间）之前递交到</w:t>
      </w:r>
      <w:r>
        <w:rPr>
          <w:rFonts w:hint="eastAsia" w:ascii="宋体" w:hAnsi="宋体"/>
          <w:bCs/>
          <w:iCs/>
        </w:rPr>
        <w:t>宁波市</w:t>
      </w:r>
      <w:r>
        <w:rPr>
          <w:rFonts w:hint="eastAsia" w:ascii="宋体" w:hAnsi="宋体"/>
          <w:szCs w:val="21"/>
        </w:rPr>
        <w:t>北仑区招投标中心开标室（北仑区长江路1166号行政服务中心B座三楼），迟到的投标文件和未购买招标文件者的投标将被拒绝接收。</w:t>
      </w:r>
    </w:p>
    <w:p>
      <w:pPr>
        <w:spacing w:after="0" w:line="360" w:lineRule="exact"/>
        <w:ind w:firstLine="420" w:firstLineChars="200"/>
        <w:rPr>
          <w:rFonts w:ascii="宋体" w:hAnsi="宋体"/>
          <w:szCs w:val="21"/>
        </w:rPr>
      </w:pPr>
      <w:r>
        <w:rPr>
          <w:rFonts w:hint="eastAsia" w:ascii="宋体" w:hAnsi="宋体"/>
          <w:szCs w:val="21"/>
        </w:rPr>
        <w:t>5、投标地点：</w:t>
      </w:r>
      <w:r>
        <w:rPr>
          <w:rFonts w:hint="eastAsia" w:ascii="宋体" w:hAnsi="宋体"/>
          <w:bCs/>
          <w:iCs/>
        </w:rPr>
        <w:t>宁波市</w:t>
      </w:r>
      <w:r>
        <w:rPr>
          <w:rFonts w:hint="eastAsia" w:ascii="宋体" w:hAnsi="宋体"/>
          <w:szCs w:val="21"/>
        </w:rPr>
        <w:t>北仑区招投标中心开标室（北仑区长江路1166号行政服务中心B座三楼）。</w:t>
      </w:r>
    </w:p>
    <w:p>
      <w:pPr>
        <w:spacing w:after="0" w:line="360" w:lineRule="exact"/>
        <w:ind w:firstLine="420" w:firstLineChars="200"/>
        <w:rPr>
          <w:rFonts w:ascii="宋体" w:hAnsi="宋体"/>
          <w:szCs w:val="21"/>
        </w:rPr>
      </w:pPr>
      <w:r>
        <w:rPr>
          <w:rFonts w:hint="eastAsia" w:ascii="宋体" w:hAnsi="宋体"/>
          <w:szCs w:val="21"/>
        </w:rPr>
        <w:t>因目前尚处于新冠肺炎疫情防控期，投标采用现场递交或邮寄送达方式递交。</w:t>
      </w:r>
    </w:p>
    <w:p>
      <w:pPr>
        <w:snapToGrid w:val="0"/>
        <w:spacing w:after="0" w:line="360" w:lineRule="exact"/>
        <w:ind w:firstLine="420" w:firstLineChars="200"/>
        <w:jc w:val="left"/>
        <w:rPr>
          <w:rFonts w:ascii="宋体" w:hAnsi="宋体" w:cs="宋体"/>
          <w:kern w:val="2"/>
          <w:szCs w:val="21"/>
        </w:rPr>
      </w:pPr>
      <w:r>
        <w:rPr>
          <w:rFonts w:hint="eastAsia" w:ascii="宋体" w:hAnsi="宋体" w:cs="宋体"/>
          <w:szCs w:val="21"/>
        </w:rPr>
        <w:t>方式一：现场递交方式，供应商可安排一名“甬行码”为绿色的授权代表在投标截止时间前将投标文件送至开标地点。投标文件递交时须同时递交供应商的法定代表人（或其授权代表）联系方式，并保证投标期间联系方式畅通。</w:t>
      </w:r>
    </w:p>
    <w:p>
      <w:pPr>
        <w:snapToGrid w:val="0"/>
        <w:spacing w:after="0" w:line="360" w:lineRule="exact"/>
        <w:ind w:firstLine="420" w:firstLineChars="200"/>
        <w:jc w:val="left"/>
        <w:rPr>
          <w:rFonts w:hint="eastAsia" w:ascii="宋体" w:hAnsi="宋体" w:eastAsia="宋体" w:cs="宋体"/>
          <w:szCs w:val="21"/>
          <w:lang w:val="en-US" w:eastAsia="zh-CN"/>
        </w:rPr>
      </w:pPr>
      <w:r>
        <w:rPr>
          <w:rFonts w:hint="eastAsia" w:ascii="宋体" w:hAnsi="宋体" w:cs="宋体"/>
          <w:szCs w:val="21"/>
        </w:rPr>
        <w:t>方式二：邮寄送达，送达地址：宁波市国际招标有限公司（宁波市江北区环城北路西段207弄19号世茂茂悦商业中心1号楼八楼），联系方式：翁伟冬 0574-87</w:t>
      </w:r>
      <w:r>
        <w:rPr>
          <w:rFonts w:ascii="宋体" w:hAnsi="宋体" w:cs="宋体"/>
          <w:szCs w:val="21"/>
        </w:rPr>
        <w:t>295348</w:t>
      </w:r>
      <w:r>
        <w:rPr>
          <w:rFonts w:hint="eastAsia" w:ascii="宋体" w:hAnsi="宋体" w:cs="宋体"/>
          <w:szCs w:val="21"/>
        </w:rPr>
        <w:t>。供应商邮寄后须致电采购代理机构，以便采购代理机构查询物流记录。</w:t>
      </w:r>
      <w:r>
        <w:rPr>
          <w:rFonts w:hint="eastAsia" w:ascii="宋体" w:hAnsi="宋体"/>
          <w:szCs w:val="21"/>
        </w:rPr>
        <w:t>评标中需要投标人对投标文件作出澄清、说明或补正，将通过与投标人微信视频、发送电子邮件或传真等形式作出。</w:t>
      </w:r>
      <w:r>
        <w:rPr>
          <w:rFonts w:hint="eastAsia" w:ascii="宋体" w:hAnsi="宋体"/>
          <w:szCs w:val="21"/>
          <w:lang w:eastAsia="zh-CN"/>
        </w:rPr>
        <w:t>采用邮寄方式的，</w:t>
      </w:r>
      <w:r>
        <w:rPr>
          <w:rFonts w:hint="eastAsia" w:ascii="宋体" w:hAnsi="宋体"/>
          <w:b/>
          <w:bCs/>
          <w:szCs w:val="21"/>
          <w:lang w:eastAsia="zh-CN"/>
        </w:rPr>
        <w:t>应在</w:t>
      </w:r>
      <w:r>
        <w:rPr>
          <w:rFonts w:hint="eastAsia" w:ascii="宋体" w:hAnsi="宋体"/>
          <w:b/>
          <w:bCs/>
          <w:szCs w:val="21"/>
        </w:rPr>
        <w:t>202</w:t>
      </w:r>
      <w:r>
        <w:rPr>
          <w:rFonts w:ascii="宋体" w:hAnsi="宋体"/>
          <w:b/>
          <w:bCs/>
          <w:szCs w:val="21"/>
        </w:rPr>
        <w:t>1</w:t>
      </w:r>
      <w:r>
        <w:rPr>
          <w:rFonts w:hint="eastAsia" w:ascii="宋体" w:hAnsi="宋体"/>
          <w:b/>
          <w:bCs/>
          <w:szCs w:val="21"/>
        </w:rPr>
        <w:t>年</w:t>
      </w:r>
      <w:r>
        <w:rPr>
          <w:rFonts w:hint="eastAsia" w:ascii="宋体" w:hAnsi="宋体"/>
          <w:b/>
          <w:bCs/>
          <w:szCs w:val="21"/>
          <w:lang w:val="en-US" w:eastAsia="zh-CN"/>
        </w:rPr>
        <w:t>10</w:t>
      </w:r>
      <w:r>
        <w:rPr>
          <w:rFonts w:hint="eastAsia" w:ascii="宋体" w:hAnsi="宋体"/>
          <w:b/>
          <w:bCs/>
          <w:szCs w:val="21"/>
        </w:rPr>
        <w:t>月</w:t>
      </w:r>
      <w:r>
        <w:rPr>
          <w:rFonts w:hint="eastAsia" w:ascii="宋体" w:hAnsi="宋体"/>
          <w:b/>
          <w:bCs/>
          <w:szCs w:val="21"/>
          <w:lang w:val="en-US" w:eastAsia="zh-CN"/>
        </w:rPr>
        <w:t>11</w:t>
      </w:r>
      <w:r>
        <w:rPr>
          <w:rFonts w:hint="eastAsia" w:ascii="宋体" w:hAnsi="宋体"/>
          <w:b/>
          <w:bCs/>
          <w:szCs w:val="21"/>
        </w:rPr>
        <w:t>日</w:t>
      </w:r>
      <w:r>
        <w:rPr>
          <w:rFonts w:hint="eastAsia" w:ascii="宋体" w:hAnsi="宋体"/>
          <w:b/>
          <w:bCs/>
          <w:szCs w:val="21"/>
          <w:lang w:eastAsia="zh-CN"/>
        </w:rPr>
        <w:t>上午</w:t>
      </w:r>
      <w:r>
        <w:rPr>
          <w:rFonts w:hint="eastAsia" w:ascii="宋体" w:hAnsi="宋体"/>
          <w:b/>
          <w:bCs/>
          <w:szCs w:val="21"/>
          <w:lang w:val="en-US" w:eastAsia="zh-CN"/>
        </w:rPr>
        <w:t>12点前寄达，否则视为未按时递交投标文件。</w:t>
      </w:r>
    </w:p>
    <w:p>
      <w:pPr>
        <w:snapToGrid w:val="0"/>
        <w:spacing w:after="0" w:line="360" w:lineRule="exact"/>
        <w:ind w:firstLine="420" w:firstLineChars="200"/>
        <w:jc w:val="left"/>
        <w:rPr>
          <w:rFonts w:ascii="宋体" w:hAnsi="宋体"/>
          <w:szCs w:val="21"/>
        </w:rPr>
      </w:pPr>
      <w:r>
        <w:rPr>
          <w:rFonts w:hint="eastAsia" w:ascii="宋体" w:hAnsi="宋体"/>
          <w:szCs w:val="21"/>
        </w:rPr>
        <w:t>请各投标人确保密封包装在邮寄过程密封包装完好，因邮寄过程的密封破损造成不符合开标要求的或因邮寄延误等造成投标文件无法在投标截止时间前邮寄到达指定地点的，造成投标人无法参加本项目投标后果的，责任由投标人自负。</w:t>
      </w:r>
    </w:p>
    <w:p>
      <w:pPr>
        <w:spacing w:after="0" w:line="360" w:lineRule="exact"/>
        <w:ind w:firstLine="420" w:firstLineChars="200"/>
        <w:rPr>
          <w:rFonts w:ascii="宋体" w:hAnsi="宋体"/>
          <w:szCs w:val="21"/>
        </w:rPr>
      </w:pPr>
      <w:r>
        <w:rPr>
          <w:rFonts w:hint="eastAsia" w:ascii="宋体" w:hAnsi="宋体"/>
          <w:szCs w:val="21"/>
        </w:rPr>
        <w:t>6、开标时间和地点：定于2021年10月</w:t>
      </w:r>
      <w:r>
        <w:rPr>
          <w:rFonts w:hint="eastAsia" w:ascii="宋体" w:hAnsi="宋体"/>
          <w:szCs w:val="21"/>
          <w:lang w:val="en-US" w:eastAsia="zh-CN"/>
        </w:rPr>
        <w:t>11</w:t>
      </w:r>
      <w:r>
        <w:rPr>
          <w:rFonts w:hint="eastAsia" w:ascii="宋体" w:hAnsi="宋体"/>
          <w:szCs w:val="21"/>
        </w:rPr>
        <w:t>日14:00（北京时间）在</w:t>
      </w:r>
      <w:r>
        <w:rPr>
          <w:rFonts w:hint="eastAsia" w:ascii="宋体" w:hAnsi="宋体"/>
          <w:bCs/>
          <w:iCs/>
        </w:rPr>
        <w:t>宁波市</w:t>
      </w:r>
      <w:r>
        <w:rPr>
          <w:rFonts w:hint="eastAsia" w:ascii="宋体" w:hAnsi="宋体"/>
          <w:szCs w:val="21"/>
        </w:rPr>
        <w:t>北仑区招投标中心开标室（北仑区长江路1166号行政服务中心B座三楼）开标，届时请参加投标的投标人代表出席开标仪式。</w:t>
      </w:r>
    </w:p>
    <w:p>
      <w:pPr>
        <w:spacing w:after="0" w:line="360" w:lineRule="exact"/>
        <w:ind w:firstLine="420" w:firstLineChars="200"/>
        <w:rPr>
          <w:rFonts w:ascii="宋体" w:hAnsi="宋体"/>
          <w:szCs w:val="21"/>
        </w:rPr>
      </w:pPr>
    </w:p>
    <w:p>
      <w:pPr>
        <w:spacing w:after="0" w:line="360" w:lineRule="exact"/>
        <w:rPr>
          <w:rFonts w:ascii="宋体" w:hAnsi="宋体"/>
          <w:b/>
          <w:szCs w:val="21"/>
        </w:rPr>
      </w:pPr>
      <w:r>
        <w:rPr>
          <w:rFonts w:hint="eastAsia" w:ascii="宋体" w:hAnsi="宋体"/>
          <w:b/>
          <w:szCs w:val="21"/>
        </w:rPr>
        <w:t>五、其他注意事项</w:t>
      </w:r>
    </w:p>
    <w:p>
      <w:pPr>
        <w:spacing w:after="0" w:line="360" w:lineRule="exact"/>
        <w:ind w:firstLine="420" w:firstLineChars="200"/>
        <w:rPr>
          <w:rFonts w:ascii="宋体" w:hAnsi="宋体"/>
          <w:szCs w:val="21"/>
        </w:rPr>
      </w:pPr>
      <w:r>
        <w:rPr>
          <w:rFonts w:hint="eastAsia" w:ascii="宋体" w:hAnsi="宋体"/>
          <w:szCs w:val="21"/>
        </w:rPr>
        <w:t>1、本次招标项目的评标办法采用综合评价法。</w:t>
      </w:r>
    </w:p>
    <w:p>
      <w:pPr>
        <w:spacing w:after="0" w:line="360" w:lineRule="exact"/>
        <w:ind w:firstLine="420" w:firstLineChars="200"/>
        <w:rPr>
          <w:rFonts w:ascii="宋体" w:hAnsi="宋体"/>
          <w:szCs w:val="21"/>
        </w:rPr>
      </w:pPr>
      <w:r>
        <w:rPr>
          <w:rFonts w:hint="eastAsia" w:ascii="宋体" w:hAnsi="宋体" w:cs="宋体"/>
          <w:szCs w:val="21"/>
        </w:rPr>
        <w:t>2、</w:t>
      </w:r>
      <w:r>
        <w:rPr>
          <w:rFonts w:hint="eastAsia" w:ascii="宋体" w:hAnsi="宋体" w:cs="宋体"/>
          <w:b/>
          <w:szCs w:val="21"/>
        </w:rPr>
        <w:t>投标人必须在投标截止时间前在必联网(www.ebnew.com)或中国国际招标网（chinabidding.mofcom.gov.cn）完成注册，中国国际招标网完成注册的用户还需到必联网进行账号激活。</w:t>
      </w:r>
    </w:p>
    <w:p>
      <w:pPr>
        <w:spacing w:after="0" w:line="360" w:lineRule="exact"/>
        <w:rPr>
          <w:rFonts w:ascii="宋体" w:hAnsi="宋体"/>
          <w:b/>
          <w:szCs w:val="21"/>
        </w:rPr>
      </w:pPr>
      <w:r>
        <w:rPr>
          <w:rFonts w:hint="eastAsia" w:ascii="宋体" w:hAnsi="宋体"/>
          <w:b/>
          <w:szCs w:val="21"/>
        </w:rPr>
        <w:t>六、联系方式</w:t>
      </w:r>
    </w:p>
    <w:p>
      <w:pPr>
        <w:spacing w:after="0" w:line="360" w:lineRule="exact"/>
        <w:ind w:firstLine="735" w:firstLineChars="350"/>
        <w:rPr>
          <w:rFonts w:ascii="宋体" w:hAnsi="宋体"/>
          <w:szCs w:val="21"/>
        </w:rPr>
      </w:pPr>
      <w:r>
        <w:rPr>
          <w:rFonts w:hint="eastAsia" w:ascii="宋体" w:hAnsi="宋体"/>
          <w:szCs w:val="21"/>
        </w:rPr>
        <w:t>招标人：北京航空航天大学宁波创新研究院</w:t>
      </w:r>
    </w:p>
    <w:p>
      <w:pPr>
        <w:spacing w:after="0" w:line="360" w:lineRule="exact"/>
        <w:ind w:firstLine="735" w:firstLineChars="350"/>
        <w:rPr>
          <w:rFonts w:ascii="宋体" w:hAnsi="宋体"/>
          <w:szCs w:val="21"/>
        </w:rPr>
      </w:pPr>
      <w:r>
        <w:rPr>
          <w:rFonts w:hint="eastAsia" w:ascii="宋体" w:hAnsi="宋体"/>
          <w:szCs w:val="21"/>
        </w:rPr>
        <w:t>使用中心：先进飞行器与空天动力创新研究中心</w:t>
      </w:r>
    </w:p>
    <w:p>
      <w:pPr>
        <w:spacing w:after="0" w:line="360" w:lineRule="exact"/>
        <w:ind w:firstLine="735" w:firstLineChars="350"/>
        <w:rPr>
          <w:rFonts w:ascii="宋体" w:hAnsi="宋体"/>
          <w:szCs w:val="21"/>
        </w:rPr>
      </w:pPr>
      <w:r>
        <w:rPr>
          <w:rFonts w:hint="eastAsia" w:ascii="宋体" w:hAnsi="宋体"/>
          <w:szCs w:val="21"/>
        </w:rPr>
        <w:t>地址：浙江省宁波市梅山保税港区三创基地一期7号楼</w:t>
      </w:r>
    </w:p>
    <w:p>
      <w:pPr>
        <w:spacing w:after="0" w:line="360" w:lineRule="exact"/>
        <w:ind w:firstLine="735" w:firstLineChars="350"/>
        <w:rPr>
          <w:rFonts w:ascii="宋体" w:hAnsi="宋体"/>
          <w:szCs w:val="21"/>
        </w:rPr>
      </w:pPr>
      <w:r>
        <w:rPr>
          <w:rFonts w:hint="eastAsia" w:ascii="宋体" w:hAnsi="宋体"/>
          <w:szCs w:val="21"/>
        </w:rPr>
        <w:t>技术部分联系</w:t>
      </w:r>
    </w:p>
    <w:p>
      <w:pPr>
        <w:spacing w:after="0" w:line="360" w:lineRule="exact"/>
        <w:ind w:firstLine="735" w:firstLineChars="350"/>
        <w:rPr>
          <w:rFonts w:ascii="宋体" w:hAnsi="宋体"/>
          <w:szCs w:val="21"/>
        </w:rPr>
      </w:pPr>
      <w:r>
        <w:rPr>
          <w:rFonts w:hint="eastAsia" w:ascii="宋体" w:hAnsi="宋体"/>
          <w:szCs w:val="21"/>
        </w:rPr>
        <w:t>联系人：汪耀如   电  话：0574-86001551</w:t>
      </w:r>
    </w:p>
    <w:p>
      <w:pPr>
        <w:spacing w:after="0" w:line="360" w:lineRule="exact"/>
        <w:ind w:firstLine="735" w:firstLineChars="350"/>
        <w:rPr>
          <w:rFonts w:ascii="宋体" w:hAnsi="宋体"/>
          <w:szCs w:val="21"/>
        </w:rPr>
      </w:pPr>
      <w:r>
        <w:rPr>
          <w:rFonts w:hint="eastAsia" w:ascii="宋体" w:hAnsi="宋体"/>
          <w:szCs w:val="21"/>
        </w:rPr>
        <w:t>商务部分联系</w:t>
      </w:r>
    </w:p>
    <w:p>
      <w:pPr>
        <w:spacing w:after="0" w:line="360" w:lineRule="exact"/>
        <w:ind w:firstLine="735" w:firstLineChars="350"/>
        <w:rPr>
          <w:rFonts w:ascii="宋体" w:hAnsi="宋体"/>
          <w:szCs w:val="21"/>
        </w:rPr>
      </w:pPr>
      <w:r>
        <w:rPr>
          <w:rFonts w:hint="eastAsia" w:ascii="宋体" w:hAnsi="宋体"/>
          <w:szCs w:val="21"/>
        </w:rPr>
        <w:t>联系人：张老师   电  话：0574-86001572</w:t>
      </w:r>
    </w:p>
    <w:p>
      <w:pPr>
        <w:spacing w:after="0" w:line="360" w:lineRule="exact"/>
        <w:ind w:firstLine="735" w:firstLineChars="350"/>
        <w:rPr>
          <w:rFonts w:ascii="宋体" w:hAnsi="宋体"/>
          <w:szCs w:val="21"/>
        </w:rPr>
      </w:pPr>
      <w:r>
        <w:rPr>
          <w:rFonts w:hint="eastAsia" w:ascii="宋体" w:hAnsi="宋体"/>
          <w:szCs w:val="21"/>
        </w:rPr>
        <w:t>招标代理机构名称：宁波市国际招标有限公司</w:t>
      </w:r>
    </w:p>
    <w:p>
      <w:pPr>
        <w:spacing w:after="0" w:line="360" w:lineRule="exact"/>
        <w:ind w:firstLine="735" w:firstLineChars="350"/>
        <w:rPr>
          <w:rFonts w:ascii="宋体" w:hAnsi="宋体"/>
          <w:szCs w:val="21"/>
        </w:rPr>
      </w:pPr>
      <w:r>
        <w:rPr>
          <w:rFonts w:hint="eastAsia" w:ascii="宋体" w:hAnsi="宋体"/>
          <w:szCs w:val="21"/>
        </w:rPr>
        <w:t>地址：宁波市江北区环城北路西段207弄19号世茂茂悦商业中心1号楼八楼012室</w:t>
      </w:r>
    </w:p>
    <w:p>
      <w:pPr>
        <w:spacing w:after="0" w:line="360" w:lineRule="exact"/>
        <w:ind w:firstLine="735" w:firstLineChars="350"/>
        <w:rPr>
          <w:rFonts w:ascii="宋体" w:hAnsi="宋体"/>
          <w:szCs w:val="21"/>
        </w:rPr>
      </w:pPr>
      <w:r>
        <w:rPr>
          <w:rFonts w:hint="eastAsia" w:ascii="宋体" w:hAnsi="宋体"/>
          <w:szCs w:val="21"/>
        </w:rPr>
        <w:t>电话：0574－87</w:t>
      </w:r>
      <w:r>
        <w:rPr>
          <w:rFonts w:ascii="宋体" w:hAnsi="宋体"/>
          <w:szCs w:val="21"/>
        </w:rPr>
        <w:t>295348</w:t>
      </w:r>
    </w:p>
    <w:p>
      <w:pPr>
        <w:spacing w:after="0" w:line="360" w:lineRule="exact"/>
        <w:ind w:firstLine="735" w:firstLineChars="350"/>
        <w:rPr>
          <w:rFonts w:ascii="宋体" w:hAnsi="宋体"/>
          <w:szCs w:val="21"/>
        </w:rPr>
      </w:pPr>
      <w:r>
        <w:rPr>
          <w:rFonts w:hint="eastAsia" w:ascii="宋体" w:hAnsi="宋体"/>
          <w:szCs w:val="21"/>
        </w:rPr>
        <w:t xml:space="preserve">传真：0574－87388460 </w:t>
      </w:r>
    </w:p>
    <w:p>
      <w:pPr>
        <w:spacing w:after="0" w:line="360" w:lineRule="exact"/>
        <w:ind w:firstLine="735" w:firstLineChars="350"/>
        <w:rPr>
          <w:rFonts w:ascii="宋体" w:hAnsi="宋体"/>
          <w:szCs w:val="21"/>
        </w:rPr>
      </w:pPr>
      <w:r>
        <w:rPr>
          <w:rFonts w:hint="eastAsia" w:ascii="宋体" w:hAnsi="宋体"/>
          <w:szCs w:val="21"/>
        </w:rPr>
        <w:t>电子邮件：nbitc@126.com</w:t>
      </w:r>
    </w:p>
    <w:p>
      <w:pPr>
        <w:spacing w:after="0" w:line="360" w:lineRule="exact"/>
        <w:ind w:firstLine="735" w:firstLineChars="350"/>
        <w:rPr>
          <w:rFonts w:ascii="宋体" w:hAnsi="宋体"/>
          <w:szCs w:val="21"/>
        </w:rPr>
      </w:pPr>
      <w:r>
        <w:rPr>
          <w:rFonts w:hint="eastAsia" w:ascii="宋体" w:hAnsi="宋体"/>
          <w:szCs w:val="21"/>
        </w:rPr>
        <w:t>联系人：翁伟冬、章海波、严锋</w:t>
      </w:r>
    </w:p>
    <w:p>
      <w:pPr>
        <w:spacing w:after="0" w:line="360" w:lineRule="exact"/>
        <w:ind w:firstLine="735" w:firstLineChars="350"/>
        <w:rPr>
          <w:rFonts w:ascii="宋体" w:hAnsi="宋体"/>
          <w:szCs w:val="21"/>
        </w:rPr>
      </w:pPr>
      <w:r>
        <w:rPr>
          <w:rFonts w:hint="eastAsia" w:ascii="宋体" w:hAnsi="宋体"/>
          <w:szCs w:val="21"/>
        </w:rPr>
        <w:t>开户银行及帐号：</w:t>
      </w:r>
    </w:p>
    <w:p>
      <w:pPr>
        <w:spacing w:after="0" w:line="360" w:lineRule="exact"/>
        <w:ind w:firstLine="735" w:firstLineChars="350"/>
        <w:rPr>
          <w:rFonts w:ascii="宋体" w:hAnsi="宋体"/>
          <w:szCs w:val="21"/>
        </w:rPr>
      </w:pPr>
      <w:r>
        <w:rPr>
          <w:rFonts w:hint="eastAsia" w:ascii="宋体" w:hAnsi="宋体"/>
          <w:szCs w:val="21"/>
        </w:rPr>
        <w:t>户名：宁波市国际招标有限公司</w:t>
      </w:r>
    </w:p>
    <w:p>
      <w:pPr>
        <w:spacing w:after="0" w:line="360" w:lineRule="exact"/>
        <w:ind w:firstLine="735" w:firstLineChars="350"/>
        <w:rPr>
          <w:rFonts w:ascii="宋体" w:hAnsi="宋体"/>
          <w:szCs w:val="21"/>
        </w:rPr>
      </w:pPr>
      <w:r>
        <w:rPr>
          <w:rFonts w:hint="eastAsia" w:ascii="宋体" w:hAnsi="宋体"/>
          <w:szCs w:val="21"/>
        </w:rPr>
        <w:t>银行帐号：</w:t>
      </w:r>
    </w:p>
    <w:p>
      <w:pPr>
        <w:spacing w:after="0" w:line="360" w:lineRule="exact"/>
        <w:ind w:firstLine="735" w:firstLineChars="350"/>
        <w:rPr>
          <w:rFonts w:ascii="宋体" w:hAnsi="宋体"/>
          <w:szCs w:val="21"/>
        </w:rPr>
      </w:pPr>
      <w:r>
        <w:rPr>
          <w:rFonts w:hint="eastAsia" w:ascii="宋体" w:hAnsi="宋体"/>
          <w:szCs w:val="21"/>
        </w:rPr>
        <w:t>账号（人民币）：中国建设银行股份有限公司宁波梅山保税港区支行：33150198600000001067</w:t>
      </w:r>
    </w:p>
    <w:p>
      <w:pPr>
        <w:spacing w:after="0" w:line="360" w:lineRule="exact"/>
        <w:ind w:firstLine="735" w:firstLineChars="350"/>
        <w:rPr>
          <w:rFonts w:hint="eastAsia" w:ascii="宋体" w:hAnsi="宋体"/>
          <w:szCs w:val="21"/>
        </w:rPr>
      </w:pPr>
      <w:r>
        <w:rPr>
          <w:rFonts w:hint="eastAsia" w:ascii="宋体" w:hAnsi="宋体"/>
          <w:szCs w:val="21"/>
        </w:rPr>
        <w:t>帐号（美元）：中国银行宁波分行：385758362674</w:t>
      </w:r>
    </w:p>
    <w:p>
      <w:pPr>
        <w:spacing w:after="0" w:line="360" w:lineRule="exact"/>
        <w:ind w:firstLine="735" w:firstLineChars="350"/>
        <w:rPr>
          <w:rFonts w:hint="eastAsia" w:ascii="宋体" w:hAnsi="宋体"/>
          <w:szCs w:val="21"/>
        </w:rPr>
      </w:pPr>
      <w:r>
        <w:rPr>
          <w:rFonts w:hint="eastAsia" w:ascii="宋体" w:hAnsi="宋体"/>
          <w:szCs w:val="21"/>
        </w:rPr>
        <w:t>帐号（欧元）：中国银行宁波分行：394858362742</w:t>
      </w:r>
    </w:p>
    <w:p>
      <w:pPr>
        <w:spacing w:after="0" w:line="360" w:lineRule="exact"/>
        <w:ind w:firstLine="735" w:firstLineChars="350"/>
        <w:rPr>
          <w:rFonts w:ascii="宋体" w:hAnsi="宋体"/>
          <w:szCs w:val="21"/>
        </w:rPr>
      </w:pPr>
      <w:r>
        <w:rPr>
          <w:rFonts w:hint="eastAsia" w:ascii="宋体" w:hAnsi="宋体"/>
          <w:szCs w:val="21"/>
        </w:rPr>
        <w:t>swift代码：BKCHCNBJ92A</w:t>
      </w:r>
    </w:p>
    <w:p>
      <w:pPr>
        <w:spacing w:line="360" w:lineRule="exact"/>
        <w:ind w:hanging="480"/>
        <w:rPr>
          <w:rFonts w:ascii="宋体" w:hAnsi="宋体"/>
          <w:sz w:val="24"/>
          <w:szCs w:val="24"/>
        </w:rPr>
      </w:pPr>
    </w:p>
    <w:p>
      <w:pPr>
        <w:spacing w:line="360" w:lineRule="exact"/>
        <w:ind w:hanging="480"/>
        <w:rPr>
          <w:rFonts w:ascii="宋体" w:hAnsi="宋体"/>
          <w:sz w:val="24"/>
          <w:szCs w:val="24"/>
        </w:rPr>
        <w:sectPr>
          <w:headerReference r:id="rId3" w:type="default"/>
          <w:footerReference r:id="rId4" w:type="default"/>
          <w:pgSz w:w="11907" w:h="16840"/>
          <w:pgMar w:top="1440" w:right="1290" w:bottom="1142" w:left="1377" w:header="720" w:footer="720" w:gutter="0"/>
          <w:pgNumType w:start="1"/>
          <w:cols w:space="720" w:num="1"/>
        </w:sectPr>
      </w:pPr>
    </w:p>
    <w:p>
      <w:pPr>
        <w:pStyle w:val="5"/>
        <w:wordWrap w:val="0"/>
        <w:jc w:val="center"/>
        <w:rPr>
          <w:rFonts w:ascii="宋体" w:hAnsi="宋体"/>
          <w:szCs w:val="21"/>
        </w:rPr>
      </w:pPr>
      <w:r>
        <w:rPr>
          <w:rFonts w:hint="eastAsia" w:ascii="宋体" w:hAnsi="宋体" w:eastAsia="宋体"/>
          <w:sz w:val="30"/>
          <w:szCs w:val="30"/>
        </w:rPr>
        <w:t>◆</w:t>
      </w:r>
      <w:r>
        <w:rPr>
          <w:rFonts w:ascii="宋体" w:hAnsi="宋体" w:eastAsia="宋体"/>
          <w:sz w:val="30"/>
          <w:szCs w:val="30"/>
        </w:rPr>
        <w:t xml:space="preserve">  </w:t>
      </w:r>
      <w:r>
        <w:rPr>
          <w:rFonts w:hint="eastAsia" w:ascii="宋体" w:hAnsi="宋体" w:eastAsia="宋体"/>
          <w:sz w:val="30"/>
          <w:szCs w:val="30"/>
        </w:rPr>
        <w:t>表</w:t>
      </w:r>
      <w:r>
        <w:rPr>
          <w:rFonts w:ascii="宋体" w:hAnsi="宋体" w:eastAsia="宋体"/>
          <w:sz w:val="30"/>
          <w:szCs w:val="30"/>
        </w:rPr>
        <w:t xml:space="preserve">B </w:t>
      </w:r>
      <w:r>
        <w:rPr>
          <w:rFonts w:hint="eastAsia" w:ascii="宋体" w:hAnsi="宋体" w:eastAsia="宋体"/>
          <w:sz w:val="30"/>
          <w:szCs w:val="30"/>
        </w:rPr>
        <w:t xml:space="preserve">技术规格表 </w:t>
      </w:r>
    </w:p>
    <w:p>
      <w:bookmarkStart w:id="2" w:name="_Toc31181"/>
      <w:r>
        <w:rPr>
          <w:rFonts w:hint="eastAsia"/>
        </w:rPr>
        <w:t>品目一（矢量网络分析仪）：</w:t>
      </w:r>
      <w:bookmarkEnd w:id="2"/>
    </w:p>
    <w:tbl>
      <w:tblPr>
        <w:tblStyle w:val="25"/>
        <w:tblW w:w="9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3"/>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blHeader/>
          <w:jc w:val="center"/>
        </w:trPr>
        <w:tc>
          <w:tcPr>
            <w:tcW w:w="8023" w:type="dxa"/>
            <w:shd w:val="clear" w:color="auto" w:fill="FFC000"/>
            <w:vAlign w:val="center"/>
          </w:tcPr>
          <w:p>
            <w:pPr>
              <w:spacing w:after="0" w:line="360" w:lineRule="auto"/>
              <w:jc w:val="center"/>
              <w:rPr>
                <w:rFonts w:ascii="宋体" w:hAnsi="宋体"/>
                <w:b/>
                <w:szCs w:val="21"/>
              </w:rPr>
            </w:pPr>
            <w:bookmarkStart w:id="3" w:name="_Toc421307272"/>
            <w:r>
              <w:rPr>
                <w:rFonts w:hint="eastAsia" w:ascii="宋体" w:hAnsi="宋体"/>
                <w:b/>
                <w:szCs w:val="21"/>
              </w:rPr>
              <w:t>招标要求</w:t>
            </w:r>
          </w:p>
        </w:tc>
        <w:tc>
          <w:tcPr>
            <w:tcW w:w="1282" w:type="dxa"/>
            <w:shd w:val="clear" w:color="auto" w:fill="FFC000"/>
            <w:vAlign w:val="center"/>
          </w:tcPr>
          <w:p>
            <w:pPr>
              <w:spacing w:after="0" w:line="360" w:lineRule="auto"/>
              <w:jc w:val="center"/>
              <w:rPr>
                <w:rFonts w:ascii="宋体" w:hAnsi="宋体"/>
                <w:b/>
                <w:szCs w:val="21"/>
              </w:rPr>
            </w:pPr>
            <w:r>
              <w:rPr>
                <w:rFonts w:ascii="宋体" w:hAnsi="宋体"/>
                <w:b/>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vAlign w:val="center"/>
          </w:tcPr>
          <w:p>
            <w:pPr>
              <w:spacing w:after="0" w:line="360" w:lineRule="auto"/>
              <w:jc w:val="left"/>
              <w:rPr>
                <w:rFonts w:ascii="宋体" w:hAnsi="宋体" w:cs="Arial"/>
                <w:szCs w:val="21"/>
              </w:rPr>
            </w:pPr>
            <w:r>
              <w:rPr>
                <w:rFonts w:ascii="宋体" w:hAnsi="宋体" w:cs="Arial"/>
                <w:szCs w:val="21"/>
              </w:rPr>
              <w:t>*</w:t>
            </w:r>
            <w:r>
              <w:rPr>
                <w:rFonts w:hint="eastAsia" w:ascii="宋体" w:hAnsi="宋体" w:cs="Arial"/>
                <w:szCs w:val="21"/>
              </w:rPr>
              <w:t>1、对常规</w:t>
            </w:r>
            <w:r>
              <w:rPr>
                <w:rFonts w:ascii="宋体" w:hAnsi="宋体" w:cs="Arial"/>
                <w:szCs w:val="21"/>
              </w:rPr>
              <w:t>S参数进行测量，频率范围</w:t>
            </w:r>
            <w:r>
              <w:rPr>
                <w:rFonts w:hint="eastAsia" w:ascii="宋体" w:hAnsi="宋体" w:cs="Arial"/>
                <w:szCs w:val="21"/>
              </w:rPr>
              <w:t>包含</w:t>
            </w:r>
            <w:r>
              <w:rPr>
                <w:rFonts w:ascii="宋体" w:hAnsi="宋体" w:cs="Arial"/>
                <w:szCs w:val="21"/>
              </w:rPr>
              <w:t>：100kHz - 20GHz；</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hint="eastAsia" w:ascii="宋体" w:hAnsi="宋体" w:cs="Arial"/>
                <w:szCs w:val="21"/>
              </w:rPr>
              <w:t>2、端口数量：≥</w:t>
            </w:r>
            <w:r>
              <w:rPr>
                <w:rFonts w:ascii="宋体" w:hAnsi="宋体" w:cs="Arial"/>
                <w:szCs w:val="21"/>
              </w:rPr>
              <w:t>2；</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ascii="宋体" w:hAnsi="宋体" w:cs="Arial"/>
                <w:szCs w:val="21"/>
              </w:rPr>
              <w:t>*3</w:t>
            </w:r>
            <w:r>
              <w:rPr>
                <w:rFonts w:hint="eastAsia" w:ascii="宋体" w:hAnsi="宋体" w:cs="Arial"/>
                <w:szCs w:val="21"/>
              </w:rPr>
              <w:t>、频率分辨率：≤</w:t>
            </w:r>
            <w:r>
              <w:rPr>
                <w:rFonts w:ascii="宋体" w:hAnsi="宋体" w:cs="Arial"/>
                <w:szCs w:val="21"/>
              </w:rPr>
              <w:t>1Hz；</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hint="eastAsia" w:ascii="宋体" w:hAnsi="宋体" w:cs="Arial"/>
                <w:szCs w:val="21"/>
              </w:rPr>
              <w:t>4、测量点数：</w:t>
            </w:r>
            <w:r>
              <w:rPr>
                <w:rFonts w:ascii="宋体" w:hAnsi="宋体" w:cs="Arial"/>
                <w:szCs w:val="21"/>
              </w:rPr>
              <w:t>1 - 100001；</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hint="eastAsia" w:ascii="宋体" w:hAnsi="宋体" w:cs="Arial"/>
                <w:szCs w:val="21"/>
              </w:rPr>
              <w:t>5、测量速度：≤</w:t>
            </w:r>
            <w:r>
              <w:rPr>
                <w:rFonts w:ascii="宋体" w:hAnsi="宋体" w:cs="Arial"/>
                <w:szCs w:val="21"/>
              </w:rPr>
              <w:t>2.5µs/点；</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ascii="宋体" w:hAnsi="宋体" w:cs="Arial"/>
                <w:szCs w:val="21"/>
              </w:rPr>
              <w:t>*</w:t>
            </w:r>
            <w:r>
              <w:rPr>
                <w:rFonts w:hint="eastAsia" w:ascii="宋体" w:hAnsi="宋体" w:cs="Arial"/>
                <w:szCs w:val="21"/>
              </w:rPr>
              <w:t>6、中频带宽：</w:t>
            </w:r>
            <w:r>
              <w:rPr>
                <w:rFonts w:ascii="宋体" w:hAnsi="宋体" w:cs="Arial"/>
                <w:szCs w:val="21"/>
              </w:rPr>
              <w:t>1Hz-1MHz；</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ascii="宋体" w:hAnsi="宋体" w:cs="Arial"/>
                <w:szCs w:val="21"/>
              </w:rPr>
              <w:t>*</w:t>
            </w:r>
            <w:r>
              <w:rPr>
                <w:rFonts w:hint="eastAsia" w:ascii="宋体" w:hAnsi="宋体" w:cs="Arial"/>
                <w:szCs w:val="21"/>
              </w:rPr>
              <w:t>7、传输测试精度：</w:t>
            </w:r>
            <w:r>
              <w:rPr>
                <w:rFonts w:ascii="宋体" w:hAnsi="宋体" w:cs="Arial"/>
                <w:szCs w:val="21"/>
              </w:rPr>
              <w:t>(1MHz-10GHz，0dB - –20dB)&lt;0.05dB or &lt;0.5º；</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ascii="宋体" w:hAnsi="宋体" w:cs="Arial"/>
                <w:szCs w:val="21"/>
              </w:rPr>
              <w:t>*8</w:t>
            </w:r>
            <w:r>
              <w:rPr>
                <w:rFonts w:hint="eastAsia" w:ascii="宋体" w:hAnsi="宋体" w:cs="Arial"/>
                <w:szCs w:val="21"/>
              </w:rPr>
              <w:t>、反射测试精度：</w:t>
            </w:r>
            <w:r>
              <w:rPr>
                <w:rFonts w:ascii="宋体" w:hAnsi="宋体" w:cs="Arial"/>
                <w:szCs w:val="21"/>
              </w:rPr>
              <w:t>(10GHz-20GHz，0dB)&lt;0.2dB or &lt;1.1º；</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ascii="宋体" w:hAnsi="宋体" w:cs="Arial"/>
                <w:szCs w:val="21"/>
              </w:rPr>
              <w:t>*</w:t>
            </w:r>
            <w:r>
              <w:rPr>
                <w:rFonts w:hint="eastAsia" w:ascii="宋体" w:hAnsi="宋体" w:cs="Arial"/>
                <w:szCs w:val="21"/>
              </w:rPr>
              <w:t>9、迹线噪声：</w:t>
            </w:r>
            <w:r>
              <w:rPr>
                <w:rFonts w:ascii="宋体" w:hAnsi="宋体" w:cs="Arial"/>
                <w:szCs w:val="21"/>
              </w:rPr>
              <w:t>300kHz-20GHz IF=10kHz, &lt;0.001dB典型值 ；迹线相位噪声，典型值0.01º；</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ascii="宋体" w:hAnsi="宋体" w:cs="Arial"/>
                <w:szCs w:val="21"/>
              </w:rPr>
              <w:t>*</w:t>
            </w:r>
            <w:r>
              <w:rPr>
                <w:rFonts w:hint="eastAsia" w:ascii="宋体" w:hAnsi="宋体" w:cs="Arial"/>
                <w:szCs w:val="21"/>
              </w:rPr>
              <w:t>1</w:t>
            </w:r>
            <w:r>
              <w:rPr>
                <w:rFonts w:ascii="宋体" w:hAnsi="宋体" w:cs="Arial"/>
                <w:szCs w:val="21"/>
              </w:rPr>
              <w:t>0</w:t>
            </w:r>
            <w:r>
              <w:rPr>
                <w:rFonts w:hint="eastAsia" w:ascii="宋体" w:hAnsi="宋体" w:cs="Arial"/>
                <w:szCs w:val="21"/>
              </w:rPr>
              <w:t>、测试动态范围（</w:t>
            </w:r>
            <w:r>
              <w:rPr>
                <w:rFonts w:ascii="宋体" w:hAnsi="宋体" w:cs="Arial"/>
                <w:szCs w:val="21"/>
              </w:rPr>
              <w:t>10Hz 测试带宽）：100MHz-6GHz ≥135dB（典型值）; 6GHz~20GHz ≥130dB（典型值）；</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hint="eastAsia" w:ascii="宋体" w:hAnsi="宋体" w:cs="Arial"/>
                <w:szCs w:val="21"/>
              </w:rPr>
              <w:t>1</w:t>
            </w:r>
            <w:r>
              <w:rPr>
                <w:rFonts w:ascii="宋体" w:hAnsi="宋体" w:cs="Arial"/>
                <w:szCs w:val="21"/>
              </w:rPr>
              <w:t>1</w:t>
            </w:r>
            <w:r>
              <w:rPr>
                <w:rFonts w:hint="eastAsia" w:ascii="宋体" w:hAnsi="宋体" w:cs="Arial"/>
                <w:szCs w:val="21"/>
              </w:rPr>
              <w:t>、端口输出功率：</w:t>
            </w:r>
            <w:r>
              <w:rPr>
                <w:rFonts w:ascii="宋体" w:hAnsi="宋体" w:cs="Arial"/>
                <w:szCs w:val="21"/>
              </w:rPr>
              <w:t>10MHz - 10GHz：–30 dBm - +12 dBm, 典型值：+14dBm；</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hint="eastAsia" w:ascii="宋体" w:hAnsi="宋体" w:cs="Arial"/>
                <w:szCs w:val="21"/>
              </w:rPr>
              <w:t>1</w:t>
            </w:r>
            <w:r>
              <w:rPr>
                <w:rFonts w:ascii="宋体" w:hAnsi="宋体" w:cs="Arial"/>
                <w:szCs w:val="21"/>
              </w:rPr>
              <w:t>2</w:t>
            </w:r>
            <w:r>
              <w:rPr>
                <w:rFonts w:hint="eastAsia" w:ascii="宋体" w:hAnsi="宋体" w:cs="Arial"/>
                <w:szCs w:val="21"/>
              </w:rPr>
              <w:t>、底噪声：</w:t>
            </w:r>
            <w:r>
              <w:rPr>
                <w:rFonts w:ascii="宋体" w:hAnsi="宋体" w:cs="Arial"/>
                <w:szCs w:val="21"/>
              </w:rPr>
              <w:t xml:space="preserve"> 100MHz-10GHz</w:t>
            </w:r>
            <w:r>
              <w:rPr>
                <w:rFonts w:hint="eastAsia" w:ascii="宋体" w:hAnsi="宋体" w:cs="Arial"/>
                <w:szCs w:val="21"/>
              </w:rPr>
              <w:t>：</w:t>
            </w:r>
            <w:r>
              <w:rPr>
                <w:rFonts w:ascii="宋体" w:hAnsi="宋体" w:cs="Arial"/>
                <w:szCs w:val="21"/>
              </w:rPr>
              <w:t xml:space="preserve"> &lt;-125dBm（1Hz）；10 GHz - 20 GHz</w:t>
            </w:r>
            <w:r>
              <w:rPr>
                <w:rFonts w:hint="eastAsia" w:ascii="宋体" w:hAnsi="宋体" w:cs="Arial"/>
                <w:szCs w:val="21"/>
              </w:rPr>
              <w:t>：</w:t>
            </w:r>
            <w:r>
              <w:rPr>
                <w:rFonts w:ascii="宋体" w:hAnsi="宋体" w:cs="Arial"/>
                <w:szCs w:val="21"/>
              </w:rPr>
              <w:t>&lt;-120dBm（1Hz）；</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hint="eastAsia" w:ascii="宋体" w:hAnsi="宋体" w:cs="Arial"/>
                <w:szCs w:val="21"/>
              </w:rPr>
              <w:t>1</w:t>
            </w:r>
            <w:r>
              <w:rPr>
                <w:rFonts w:ascii="宋体" w:hAnsi="宋体" w:cs="Arial"/>
                <w:szCs w:val="21"/>
              </w:rPr>
              <w:t>3</w:t>
            </w:r>
            <w:r>
              <w:rPr>
                <w:rFonts w:hint="eastAsia" w:ascii="宋体" w:hAnsi="宋体" w:cs="Arial"/>
                <w:szCs w:val="21"/>
              </w:rPr>
              <w:t>、谐波特性：</w:t>
            </w:r>
            <w:r>
              <w:rPr>
                <w:rFonts w:ascii="宋体" w:hAnsi="宋体" w:cs="Arial"/>
                <w:szCs w:val="21"/>
              </w:rPr>
              <w:t>100MHz-15GHz，&lt;-25dBc, 典型值：&lt;-35dBc；</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hint="eastAsia" w:ascii="宋体" w:hAnsi="宋体" w:cs="Arial"/>
                <w:szCs w:val="21"/>
              </w:rPr>
              <w:t>1</w:t>
            </w:r>
            <w:r>
              <w:rPr>
                <w:rFonts w:ascii="宋体" w:hAnsi="宋体" w:cs="Arial"/>
                <w:szCs w:val="21"/>
              </w:rPr>
              <w:t>4</w:t>
            </w:r>
            <w:r>
              <w:rPr>
                <w:rFonts w:hint="eastAsia" w:ascii="宋体" w:hAnsi="宋体" w:cs="Arial"/>
                <w:szCs w:val="21"/>
              </w:rPr>
              <w:t>、校准方式：</w:t>
            </w:r>
            <w:r>
              <w:rPr>
                <w:rFonts w:ascii="宋体" w:hAnsi="宋体" w:cs="Arial"/>
                <w:szCs w:val="21"/>
              </w:rPr>
              <w:t>Calibration: TOSM, UOSM, TRL/LRL, TSM, TOM, TNA, TRM, OSM, refl &amp; transm.  Normalization. Smarter Cal；</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hint="eastAsia" w:ascii="宋体" w:hAnsi="宋体" w:cs="Arial"/>
                <w:szCs w:val="21"/>
              </w:rPr>
              <w:t>1</w:t>
            </w:r>
            <w:r>
              <w:rPr>
                <w:rFonts w:ascii="宋体" w:hAnsi="宋体" w:cs="Arial"/>
                <w:szCs w:val="21"/>
              </w:rPr>
              <w:t>5</w:t>
            </w:r>
            <w:r>
              <w:rPr>
                <w:rFonts w:hint="eastAsia" w:ascii="宋体" w:hAnsi="宋体" w:cs="Arial"/>
                <w:szCs w:val="21"/>
              </w:rPr>
              <w:t>、时域测量：可测量频域内被测设备</w:t>
            </w:r>
            <w:r>
              <w:rPr>
                <w:rFonts w:ascii="宋体" w:hAnsi="宋体" w:cs="Arial"/>
                <w:szCs w:val="21"/>
              </w:rPr>
              <w:t xml:space="preserve"> (DUT) 的复杂 S 参数的幅度和相位</w:t>
            </w:r>
            <w:r>
              <w:rPr>
                <w:rFonts w:hint="eastAsia" w:ascii="宋体" w:hAnsi="宋体" w:cs="Arial"/>
                <w:szCs w:val="21"/>
              </w:rPr>
              <w:t>；</w:t>
            </w:r>
          </w:p>
        </w:tc>
        <w:tc>
          <w:tcPr>
            <w:tcW w:w="1282" w:type="dxa"/>
            <w:vAlign w:val="center"/>
          </w:tcPr>
          <w:p>
            <w:pPr>
              <w:spacing w:after="0"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8023" w:type="dxa"/>
          </w:tcPr>
          <w:p>
            <w:pPr>
              <w:spacing w:after="0" w:line="360" w:lineRule="auto"/>
              <w:jc w:val="left"/>
              <w:rPr>
                <w:rFonts w:ascii="宋体" w:hAnsi="宋体" w:cs="Arial"/>
                <w:szCs w:val="21"/>
              </w:rPr>
            </w:pPr>
            <w:r>
              <w:rPr>
                <w:rFonts w:ascii="宋体" w:hAnsi="宋体" w:cs="Arial"/>
                <w:szCs w:val="21"/>
              </w:rPr>
              <w:t>*</w:t>
            </w:r>
            <w:r>
              <w:rPr>
                <w:rFonts w:hint="eastAsia" w:ascii="宋体" w:hAnsi="宋体" w:cs="Arial"/>
                <w:szCs w:val="21"/>
              </w:rPr>
              <w:t>1</w:t>
            </w:r>
            <w:r>
              <w:rPr>
                <w:rFonts w:ascii="宋体" w:hAnsi="宋体" w:cs="Arial"/>
                <w:szCs w:val="21"/>
              </w:rPr>
              <w:t>6</w:t>
            </w:r>
            <w:r>
              <w:rPr>
                <w:rFonts w:hint="eastAsia" w:ascii="宋体" w:hAnsi="宋体" w:cs="Arial"/>
                <w:szCs w:val="21"/>
              </w:rPr>
              <w:t>、校准件≥1套</w:t>
            </w:r>
            <w:r>
              <w:rPr>
                <w:rFonts w:ascii="宋体" w:hAnsi="宋体" w:cs="Arial"/>
                <w:szCs w:val="21"/>
              </w:rPr>
              <w:t>(标准套件3.5mm,0Hz-26.5</w:t>
            </w:r>
            <w:r>
              <w:rPr>
                <w:rFonts w:hint="eastAsia" w:ascii="宋体" w:hAnsi="宋体" w:cs="Arial"/>
                <w:szCs w:val="21"/>
              </w:rPr>
              <w:t>G</w:t>
            </w:r>
            <w:r>
              <w:rPr>
                <w:rFonts w:ascii="宋体" w:hAnsi="宋体" w:cs="Arial"/>
                <w:szCs w:val="21"/>
              </w:rPr>
              <w:t>Hz,开路，短路，匹配，直通)</w:t>
            </w:r>
          </w:p>
        </w:tc>
        <w:tc>
          <w:tcPr>
            <w:tcW w:w="1282" w:type="dxa"/>
            <w:vAlign w:val="center"/>
          </w:tcPr>
          <w:p>
            <w:pPr>
              <w:spacing w:after="0" w:line="360" w:lineRule="auto"/>
              <w:jc w:val="left"/>
              <w:rPr>
                <w:rFonts w:ascii="宋体" w:hAnsi="宋体"/>
                <w:szCs w:val="21"/>
              </w:rPr>
            </w:pPr>
          </w:p>
        </w:tc>
      </w:tr>
    </w:tbl>
    <w:p>
      <w:pPr>
        <w:spacing w:after="0" w:line="340" w:lineRule="exact"/>
        <w:outlineLvl w:val="1"/>
        <w:rPr>
          <w:rFonts w:ascii="宋体" w:hAnsi="宋体"/>
          <w:b/>
          <w:szCs w:val="21"/>
        </w:rPr>
      </w:pPr>
    </w:p>
    <w:p>
      <w:pPr>
        <w:rPr>
          <w:rFonts w:ascii="宋体" w:hAnsi="宋体"/>
          <w:b/>
          <w:szCs w:val="21"/>
        </w:rPr>
      </w:pPr>
      <w:r>
        <w:rPr>
          <w:rFonts w:hint="eastAsia" w:ascii="宋体" w:hAnsi="宋体"/>
          <w:b/>
          <w:szCs w:val="21"/>
        </w:rPr>
        <w:br w:type="page"/>
      </w:r>
    </w:p>
    <w:p>
      <w:bookmarkStart w:id="4" w:name="_Toc11285"/>
      <w:r>
        <w:rPr>
          <w:rFonts w:hint="eastAsia"/>
        </w:rPr>
        <w:t>品目二（表面轮廓仪）：</w:t>
      </w:r>
      <w:bookmarkEnd w:id="4"/>
    </w:p>
    <w:tbl>
      <w:tblPr>
        <w:tblStyle w:val="25"/>
        <w:tblW w:w="9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3"/>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blHeader/>
          <w:jc w:val="center"/>
        </w:trPr>
        <w:tc>
          <w:tcPr>
            <w:tcW w:w="8023" w:type="dxa"/>
            <w:shd w:val="clear" w:color="auto" w:fill="FFC000"/>
            <w:vAlign w:val="center"/>
          </w:tcPr>
          <w:p>
            <w:pPr>
              <w:spacing w:line="360" w:lineRule="auto"/>
              <w:jc w:val="center"/>
              <w:rPr>
                <w:b/>
                <w:sz w:val="24"/>
                <w:szCs w:val="24"/>
              </w:rPr>
            </w:pPr>
            <w:r>
              <w:rPr>
                <w:rFonts w:hint="eastAsia"/>
                <w:b/>
                <w:sz w:val="24"/>
                <w:szCs w:val="24"/>
              </w:rPr>
              <w:t>招标要求</w:t>
            </w:r>
          </w:p>
        </w:tc>
        <w:tc>
          <w:tcPr>
            <w:tcW w:w="1282" w:type="dxa"/>
            <w:shd w:val="clear" w:color="auto" w:fill="FFC000"/>
            <w:vAlign w:val="center"/>
          </w:tcPr>
          <w:p>
            <w:pPr>
              <w:spacing w:line="360" w:lineRule="auto"/>
              <w:jc w:val="center"/>
              <w:rPr>
                <w:b/>
                <w:sz w:val="24"/>
                <w:szCs w:val="24"/>
              </w:rPr>
            </w:pPr>
            <w:r>
              <w:rPr>
                <w:b/>
                <w:sz w:val="24"/>
                <w:szCs w:val="24"/>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8023" w:type="dxa"/>
            <w:vAlign w:val="center"/>
          </w:tcPr>
          <w:p>
            <w:pPr>
              <w:autoSpaceDN w:val="0"/>
              <w:spacing w:before="100" w:beforeAutospacing="1" w:after="100" w:afterAutospacing="1" w:line="240" w:lineRule="auto"/>
              <w:rPr>
                <w:rFonts w:cs="Arial"/>
                <w:b/>
                <w:bCs/>
                <w:sz w:val="24"/>
                <w:szCs w:val="24"/>
              </w:rPr>
            </w:pPr>
            <w:r>
              <w:rPr>
                <w:rFonts w:ascii="宋体" w:hAnsi="宋体"/>
                <w:sz w:val="20"/>
              </w:rPr>
              <w:t>1.</w:t>
            </w:r>
            <w:r>
              <w:rPr>
                <w:rFonts w:hint="eastAsia" w:ascii="宋体" w:hAnsi="宋体"/>
                <w:sz w:val="20"/>
              </w:rPr>
              <w:t>*最大扫描长度≥50mm；</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2.*测试所允许的最大样品高度≥50mm；</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3.*垂直方向的扫描范围≥900微米；</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4.*测试高度方向的重复性≤0.4nm（1微米的标准台阶）；</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5.测试垂直分辨率≤0.1nm</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6.光学系统：彩色CCD 180x放大倍率</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7.XY移动载物台，X≥100mm行程,Y≥100mm行程；</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8.探针压力：1-15mg能精确控制探针压力，保证在不同力下不破坏样品。</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9.提供证书的校准用标样</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10.系统具有超光滑平面,保证扫描基线稳定性</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11.*可以在原仪器上直接从2D升级成3D模式</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12.提供专用分析软件并终身免费升级</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13．多次扫描分析≥15次</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14.*仪器采用成熟的LVDT传感器。</w:t>
            </w:r>
            <w:r>
              <w:rPr>
                <w:rFonts w:ascii="宋体" w:hAnsi="宋体"/>
                <w:sz w:val="20"/>
              </w:rPr>
              <w:t xml:space="preserve"> </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15.单次扫描最大采样点数120,000</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8023" w:type="dxa"/>
            <w:vAlign w:val="center"/>
          </w:tcPr>
          <w:p>
            <w:pPr>
              <w:autoSpaceDN w:val="0"/>
              <w:spacing w:before="100" w:beforeAutospacing="1" w:after="100" w:afterAutospacing="1"/>
              <w:rPr>
                <w:rFonts w:ascii="宋体" w:hAnsi="宋体"/>
                <w:sz w:val="20"/>
              </w:rPr>
            </w:pPr>
            <w:r>
              <w:rPr>
                <w:rFonts w:hint="eastAsia" w:ascii="宋体" w:hAnsi="宋体"/>
                <w:sz w:val="20"/>
              </w:rPr>
              <w:t>16.*标配带有磁吸附自动更换探针附件工具。</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023" w:type="dxa"/>
            <w:vAlign w:val="center"/>
          </w:tcPr>
          <w:p>
            <w:pPr>
              <w:autoSpaceDN w:val="0"/>
              <w:spacing w:before="100" w:beforeAutospacing="1" w:after="100" w:afterAutospacing="1"/>
              <w:rPr>
                <w:rFonts w:ascii="宋体" w:hAnsi="宋体"/>
                <w:bCs/>
                <w:sz w:val="20"/>
              </w:rPr>
            </w:pPr>
            <w:r>
              <w:rPr>
                <w:rFonts w:hint="eastAsia" w:ascii="宋体" w:hAnsi="宋体"/>
                <w:sz w:val="20"/>
              </w:rPr>
              <w:t>17.</w:t>
            </w:r>
            <w:r>
              <w:rPr>
                <w:rFonts w:hint="eastAsia" w:ascii="宋体" w:hAnsi="宋体"/>
                <w:bCs/>
                <w:sz w:val="20"/>
              </w:rPr>
              <w:t>仪器配有</w:t>
            </w:r>
            <w:r>
              <w:rPr>
                <w:rFonts w:ascii="宋体" w:hAnsi="宋体"/>
                <w:bCs/>
                <w:sz w:val="20"/>
              </w:rPr>
              <w:t>环境保护罩</w:t>
            </w:r>
            <w:r>
              <w:rPr>
                <w:rFonts w:hint="eastAsia" w:ascii="宋体" w:hAnsi="宋体"/>
                <w:bCs/>
                <w:sz w:val="20"/>
              </w:rPr>
              <w:t>，防止静电环境影响</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8023" w:type="dxa"/>
            <w:vAlign w:val="center"/>
          </w:tcPr>
          <w:p>
            <w:pPr>
              <w:autoSpaceDN w:val="0"/>
              <w:spacing w:before="100" w:beforeAutospacing="1" w:after="100" w:afterAutospacing="1"/>
              <w:rPr>
                <w:rFonts w:ascii="宋体" w:hAnsi="宋体"/>
                <w:bCs/>
                <w:sz w:val="20"/>
              </w:rPr>
            </w:pPr>
            <w:r>
              <w:rPr>
                <w:rFonts w:hint="eastAsia" w:ascii="宋体" w:hAnsi="宋体"/>
                <w:bCs/>
                <w:sz w:val="20"/>
              </w:rPr>
              <w:t>18.计算机配置，正版64位操作系统，≥320G硬盘，≥4G内存，≥23寸显示器。</w:t>
            </w:r>
          </w:p>
        </w:tc>
        <w:tc>
          <w:tcPr>
            <w:tcW w:w="1282" w:type="dxa"/>
            <w:vAlign w:val="center"/>
          </w:tcPr>
          <w:p>
            <w:pPr>
              <w:spacing w:line="360" w:lineRule="auto"/>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23" w:type="dxa"/>
            <w:vAlign w:val="center"/>
          </w:tcPr>
          <w:p>
            <w:pPr>
              <w:autoSpaceDN w:val="0"/>
              <w:spacing w:before="100" w:beforeAutospacing="1" w:after="100" w:afterAutospacing="1"/>
              <w:rPr>
                <w:rFonts w:ascii="宋体" w:hAnsi="宋体"/>
                <w:sz w:val="20"/>
              </w:rPr>
            </w:pPr>
            <w:r>
              <w:rPr>
                <w:rFonts w:ascii="宋体" w:hAnsi="宋体"/>
                <w:bCs/>
                <w:sz w:val="20"/>
              </w:rPr>
              <w:t>1</w:t>
            </w:r>
            <w:r>
              <w:rPr>
                <w:rFonts w:hint="eastAsia" w:ascii="宋体" w:hAnsi="宋体"/>
                <w:bCs/>
                <w:sz w:val="20"/>
              </w:rPr>
              <w:t>9.具有薄膜应力测量功能</w:t>
            </w:r>
          </w:p>
        </w:tc>
        <w:tc>
          <w:tcPr>
            <w:tcW w:w="1282" w:type="dxa"/>
            <w:vAlign w:val="center"/>
          </w:tcPr>
          <w:p>
            <w:pPr>
              <w:spacing w:line="360" w:lineRule="auto"/>
              <w:jc w:val="left"/>
              <w:rPr>
                <w:sz w:val="24"/>
                <w:szCs w:val="24"/>
              </w:rPr>
            </w:pPr>
          </w:p>
        </w:tc>
      </w:tr>
    </w:tbl>
    <w:p>
      <w:pPr>
        <w:spacing w:after="0" w:line="340" w:lineRule="exact"/>
        <w:outlineLvl w:val="1"/>
        <w:rPr>
          <w:rFonts w:ascii="宋体" w:hAnsi="宋体"/>
          <w:b/>
          <w:szCs w:val="21"/>
        </w:rPr>
      </w:pPr>
    </w:p>
    <w:p>
      <w:pPr>
        <w:spacing w:after="0"/>
        <w:rPr>
          <w:b/>
          <w:bCs/>
        </w:rPr>
      </w:pPr>
      <w:bookmarkStart w:id="5" w:name="_Toc15174"/>
      <w:r>
        <w:rPr>
          <w:rFonts w:hint="eastAsia"/>
          <w:b/>
          <w:bCs/>
        </w:rPr>
        <w:t>备注：</w:t>
      </w:r>
      <w:bookmarkEnd w:id="5"/>
    </w:p>
    <w:p>
      <w:pPr>
        <w:spacing w:after="0" w:line="340" w:lineRule="exact"/>
        <w:rPr>
          <w:rFonts w:ascii="宋体" w:hAnsi="宋体"/>
          <w:b/>
          <w:szCs w:val="21"/>
        </w:rPr>
      </w:pPr>
      <w:r>
        <w:rPr>
          <w:rFonts w:hint="eastAsia" w:ascii="宋体" w:hAnsi="宋体"/>
          <w:b/>
          <w:szCs w:val="21"/>
        </w:rPr>
        <w:t>1、投标人需对以上技术参数做出逐条具体应答，并填写偏离情况，否则作技术参数负偏离处理。</w:t>
      </w:r>
    </w:p>
    <w:p>
      <w:pPr>
        <w:spacing w:after="0" w:line="340" w:lineRule="exact"/>
        <w:rPr>
          <w:rFonts w:ascii="宋体" w:hAnsi="宋体"/>
          <w:b/>
          <w:szCs w:val="21"/>
        </w:rPr>
      </w:pPr>
      <w:r>
        <w:rPr>
          <w:rFonts w:hint="eastAsia" w:ascii="宋体" w:hAnsi="宋体"/>
          <w:b/>
          <w:szCs w:val="21"/>
        </w:rPr>
        <w:t>2、投标人应认真阅读标书，理解标书的全部内容。严禁以虚假的技术参数和描述来应标，一经查实，将直接导致无效标处理。任何对投标供货范围不完整的、有遗漏的投标，如果评委会认为该不完整、有遗漏的投标将对整体设备的使用和性能产生较大影响，经评委会评议，将可能直接导致无效标处理。</w:t>
      </w:r>
    </w:p>
    <w:p>
      <w:pPr>
        <w:spacing w:after="0" w:line="340" w:lineRule="exact"/>
        <w:rPr>
          <w:rFonts w:ascii="宋体" w:hAnsi="宋体"/>
          <w:b/>
          <w:szCs w:val="21"/>
        </w:rPr>
      </w:pPr>
      <w:r>
        <w:rPr>
          <w:rFonts w:hint="eastAsia" w:ascii="宋体" w:hAnsi="宋体"/>
          <w:b/>
          <w:szCs w:val="21"/>
        </w:rPr>
        <w:t>3、投标文件中任何内容使用中文以外的其他语言，须提供中文译本，否则将导致投标被否决。中文译本与原文如有冲突，以中文译本为准。</w:t>
      </w:r>
    </w:p>
    <w:p>
      <w:pPr>
        <w:spacing w:after="0" w:line="340" w:lineRule="exact"/>
        <w:rPr>
          <w:rFonts w:ascii="宋体" w:hAnsi="宋体"/>
          <w:b/>
          <w:szCs w:val="21"/>
        </w:rPr>
      </w:pPr>
      <w:r>
        <w:rPr>
          <w:rFonts w:hint="eastAsia" w:ascii="宋体" w:hAnsi="宋体"/>
          <w:b/>
          <w:szCs w:val="21"/>
        </w:rPr>
        <w:t>4、除招标文件中所明确的技术规格和品牌外，欢迎其他能满足本项目技术需求且性能相当于或高于所明确品牌的产品参加投标报价。同时在技术偏离表中作出详细对比说明，其性能须等同或优于推荐品牌及型号并经三分之二及以上评委认可，否则将被视为负偏离。</w:t>
      </w:r>
    </w:p>
    <w:bookmarkEnd w:id="3"/>
    <w:p>
      <w:pPr>
        <w:rPr>
          <w:rFonts w:ascii="宋体" w:hAnsi="宋体"/>
          <w:szCs w:val="21"/>
        </w:rPr>
      </w:pPr>
      <w:r>
        <w:rPr>
          <w:rFonts w:hint="eastAsia" w:ascii="宋体" w:hAnsi="宋体"/>
          <w:szCs w:val="21"/>
        </w:rPr>
        <w:br w:type="page"/>
      </w:r>
    </w:p>
    <w:p>
      <w:pPr>
        <w:numPr>
          <w:ilvl w:val="0"/>
          <w:numId w:val="1"/>
        </w:numPr>
        <w:tabs>
          <w:tab w:val="left" w:pos="-1317"/>
        </w:tabs>
        <w:wordWrap w:val="0"/>
        <w:adjustRightInd/>
        <w:spacing w:line="360" w:lineRule="auto"/>
        <w:contextualSpacing/>
        <w:rPr>
          <w:rFonts w:ascii="宋体" w:hAnsi="宋体"/>
          <w:szCs w:val="21"/>
        </w:rPr>
      </w:pPr>
    </w:p>
    <w:tbl>
      <w:tblPr>
        <w:tblStyle w:val="25"/>
        <w:tblW w:w="9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5551"/>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410" w:type="dxa"/>
            <w:vAlign w:val="center"/>
          </w:tcPr>
          <w:p>
            <w:pPr>
              <w:wordWrap w:val="0"/>
              <w:spacing w:line="240" w:lineRule="auto"/>
              <w:jc w:val="center"/>
              <w:rPr>
                <w:rFonts w:ascii="宋体" w:hAnsi="宋体"/>
                <w:szCs w:val="21"/>
              </w:rPr>
            </w:pPr>
            <w:r>
              <w:rPr>
                <w:rFonts w:hint="eastAsia" w:ascii="宋体" w:hAnsi="宋体"/>
                <w:szCs w:val="21"/>
              </w:rPr>
              <w:t>序号</w:t>
            </w:r>
          </w:p>
        </w:tc>
        <w:tc>
          <w:tcPr>
            <w:tcW w:w="5551" w:type="dxa"/>
            <w:vAlign w:val="center"/>
          </w:tcPr>
          <w:p>
            <w:pPr>
              <w:wordWrap w:val="0"/>
              <w:spacing w:line="240" w:lineRule="auto"/>
              <w:jc w:val="center"/>
              <w:rPr>
                <w:rFonts w:ascii="宋体" w:hAnsi="宋体"/>
                <w:szCs w:val="21"/>
              </w:rPr>
            </w:pPr>
            <w:r>
              <w:rPr>
                <w:rFonts w:hint="eastAsia" w:ascii="宋体" w:hAnsi="宋体"/>
                <w:szCs w:val="21"/>
              </w:rPr>
              <w:t>评审内容</w:t>
            </w:r>
          </w:p>
        </w:tc>
        <w:tc>
          <w:tcPr>
            <w:tcW w:w="2848" w:type="dxa"/>
            <w:vAlign w:val="center"/>
          </w:tcPr>
          <w:p>
            <w:pPr>
              <w:wordWrap w:val="0"/>
              <w:spacing w:line="240" w:lineRule="auto"/>
              <w:jc w:val="center"/>
              <w:rPr>
                <w:rFonts w:ascii="宋体" w:hAnsi="宋体"/>
                <w:szCs w:val="21"/>
              </w:rPr>
            </w:pPr>
            <w:r>
              <w:rPr>
                <w:rFonts w:hint="eastAsia" w:ascii="宋体" w:hAnsi="宋体"/>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410" w:type="dxa"/>
            <w:vAlign w:val="center"/>
          </w:tcPr>
          <w:p>
            <w:pPr>
              <w:wordWrap w:val="0"/>
              <w:spacing w:line="240" w:lineRule="auto"/>
              <w:jc w:val="center"/>
              <w:rPr>
                <w:rFonts w:ascii="宋体" w:hAnsi="宋体"/>
                <w:szCs w:val="21"/>
              </w:rPr>
            </w:pPr>
            <w:r>
              <w:rPr>
                <w:rFonts w:hint="eastAsia" w:ascii="宋体" w:hAnsi="宋体"/>
                <w:szCs w:val="21"/>
              </w:rPr>
              <w:t>1</w:t>
            </w:r>
          </w:p>
        </w:tc>
        <w:tc>
          <w:tcPr>
            <w:tcW w:w="5551" w:type="dxa"/>
            <w:vAlign w:val="center"/>
          </w:tcPr>
          <w:p>
            <w:pPr>
              <w:wordWrap w:val="0"/>
              <w:spacing w:line="240" w:lineRule="auto"/>
              <w:jc w:val="center"/>
              <w:rPr>
                <w:rFonts w:ascii="宋体" w:hAnsi="宋体"/>
                <w:szCs w:val="21"/>
              </w:rPr>
            </w:pPr>
            <w:r>
              <w:rPr>
                <w:rFonts w:hint="eastAsia" w:ascii="宋体" w:hAnsi="宋体"/>
                <w:szCs w:val="21"/>
              </w:rPr>
              <w:t>商务</w:t>
            </w:r>
          </w:p>
        </w:tc>
        <w:tc>
          <w:tcPr>
            <w:tcW w:w="2848" w:type="dxa"/>
            <w:vAlign w:val="center"/>
          </w:tcPr>
          <w:p>
            <w:pPr>
              <w:wordWrap w:val="0"/>
              <w:spacing w:line="240" w:lineRule="auto"/>
              <w:jc w:val="center"/>
              <w:rPr>
                <w:rFonts w:ascii="宋体" w:hAnsi="宋体"/>
                <w:szCs w:val="21"/>
              </w:rPr>
            </w:pPr>
            <w:r>
              <w:rPr>
                <w:rFonts w:hint="eastAsia" w:ascii="宋体" w:hAnsi="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410" w:type="dxa"/>
            <w:vAlign w:val="center"/>
          </w:tcPr>
          <w:p>
            <w:pPr>
              <w:wordWrap w:val="0"/>
              <w:spacing w:line="240" w:lineRule="auto"/>
              <w:jc w:val="center"/>
              <w:rPr>
                <w:rFonts w:ascii="宋体" w:hAnsi="宋体"/>
                <w:szCs w:val="21"/>
              </w:rPr>
            </w:pPr>
            <w:r>
              <w:rPr>
                <w:rFonts w:hint="eastAsia" w:ascii="宋体" w:hAnsi="宋体"/>
                <w:szCs w:val="21"/>
              </w:rPr>
              <w:t>2</w:t>
            </w:r>
          </w:p>
        </w:tc>
        <w:tc>
          <w:tcPr>
            <w:tcW w:w="5551" w:type="dxa"/>
            <w:vAlign w:val="center"/>
          </w:tcPr>
          <w:p>
            <w:pPr>
              <w:wordWrap w:val="0"/>
              <w:spacing w:line="240" w:lineRule="auto"/>
              <w:jc w:val="center"/>
              <w:rPr>
                <w:rFonts w:ascii="宋体" w:hAnsi="宋体"/>
                <w:szCs w:val="21"/>
              </w:rPr>
            </w:pPr>
            <w:r>
              <w:rPr>
                <w:rFonts w:hint="eastAsia" w:ascii="宋体" w:hAnsi="宋体"/>
                <w:szCs w:val="21"/>
              </w:rPr>
              <w:t>技术</w:t>
            </w:r>
          </w:p>
        </w:tc>
        <w:tc>
          <w:tcPr>
            <w:tcW w:w="2848" w:type="dxa"/>
            <w:vAlign w:val="center"/>
          </w:tcPr>
          <w:p>
            <w:pPr>
              <w:wordWrap w:val="0"/>
              <w:spacing w:line="240" w:lineRule="auto"/>
              <w:jc w:val="center"/>
              <w:rPr>
                <w:rFonts w:ascii="宋体" w:hAnsi="宋体"/>
                <w:szCs w:val="21"/>
              </w:rPr>
            </w:pPr>
            <w:r>
              <w:rPr>
                <w:rFonts w:hint="eastAsia" w:ascii="宋体" w:hAnsi="宋体"/>
                <w:szCs w:val="21"/>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410" w:type="dxa"/>
            <w:vAlign w:val="center"/>
          </w:tcPr>
          <w:p>
            <w:pPr>
              <w:wordWrap w:val="0"/>
              <w:spacing w:line="240" w:lineRule="auto"/>
              <w:jc w:val="center"/>
              <w:rPr>
                <w:rFonts w:ascii="宋体" w:hAnsi="宋体"/>
                <w:szCs w:val="21"/>
              </w:rPr>
            </w:pPr>
            <w:r>
              <w:rPr>
                <w:rFonts w:hint="eastAsia" w:ascii="宋体" w:hAnsi="宋体"/>
                <w:szCs w:val="21"/>
              </w:rPr>
              <w:t>3</w:t>
            </w:r>
          </w:p>
        </w:tc>
        <w:tc>
          <w:tcPr>
            <w:tcW w:w="5551" w:type="dxa"/>
            <w:vAlign w:val="center"/>
          </w:tcPr>
          <w:p>
            <w:pPr>
              <w:wordWrap w:val="0"/>
              <w:spacing w:line="240" w:lineRule="auto"/>
              <w:jc w:val="center"/>
              <w:rPr>
                <w:rFonts w:ascii="宋体" w:hAnsi="宋体"/>
                <w:szCs w:val="21"/>
              </w:rPr>
            </w:pPr>
            <w:r>
              <w:rPr>
                <w:rFonts w:hint="eastAsia" w:ascii="宋体" w:hAnsi="宋体"/>
                <w:szCs w:val="21"/>
              </w:rPr>
              <w:t>服务及其他</w:t>
            </w:r>
          </w:p>
        </w:tc>
        <w:tc>
          <w:tcPr>
            <w:tcW w:w="2848" w:type="dxa"/>
            <w:vAlign w:val="center"/>
          </w:tcPr>
          <w:p>
            <w:pPr>
              <w:wordWrap w:val="0"/>
              <w:spacing w:line="240" w:lineRule="auto"/>
              <w:jc w:val="center"/>
              <w:rPr>
                <w:rFonts w:ascii="宋体" w:hAnsi="宋体"/>
                <w:szCs w:val="21"/>
              </w:rPr>
            </w:pPr>
            <w:r>
              <w:rPr>
                <w:rFonts w:hint="eastAsia" w:ascii="宋体" w:hAnsi="宋体"/>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410" w:type="dxa"/>
            <w:vAlign w:val="center"/>
          </w:tcPr>
          <w:p>
            <w:pPr>
              <w:wordWrap w:val="0"/>
              <w:spacing w:line="240" w:lineRule="auto"/>
              <w:jc w:val="center"/>
              <w:rPr>
                <w:rFonts w:ascii="宋体" w:hAnsi="宋体"/>
                <w:szCs w:val="21"/>
              </w:rPr>
            </w:pPr>
            <w:r>
              <w:rPr>
                <w:rFonts w:hint="eastAsia" w:ascii="宋体" w:hAnsi="宋体"/>
                <w:szCs w:val="21"/>
              </w:rPr>
              <w:t>4</w:t>
            </w:r>
          </w:p>
        </w:tc>
        <w:tc>
          <w:tcPr>
            <w:tcW w:w="5551" w:type="dxa"/>
            <w:vAlign w:val="center"/>
          </w:tcPr>
          <w:p>
            <w:pPr>
              <w:wordWrap w:val="0"/>
              <w:spacing w:line="240" w:lineRule="auto"/>
              <w:jc w:val="center"/>
              <w:rPr>
                <w:rFonts w:ascii="宋体" w:hAnsi="宋体"/>
                <w:szCs w:val="21"/>
              </w:rPr>
            </w:pPr>
            <w:r>
              <w:rPr>
                <w:rFonts w:hint="eastAsia" w:ascii="宋体" w:hAnsi="宋体"/>
                <w:szCs w:val="21"/>
              </w:rPr>
              <w:t>价格</w:t>
            </w:r>
          </w:p>
        </w:tc>
        <w:tc>
          <w:tcPr>
            <w:tcW w:w="2848" w:type="dxa"/>
            <w:vAlign w:val="center"/>
          </w:tcPr>
          <w:p>
            <w:pPr>
              <w:wordWrap w:val="0"/>
              <w:spacing w:line="240" w:lineRule="auto"/>
              <w:jc w:val="center"/>
              <w:rPr>
                <w:rFonts w:ascii="宋体" w:hAnsi="宋体"/>
                <w:szCs w:val="21"/>
              </w:rPr>
            </w:pPr>
            <w:r>
              <w:rPr>
                <w:rFonts w:hint="eastAsia" w:ascii="宋体" w:hAnsi="宋体"/>
                <w:szCs w:val="21"/>
              </w:rPr>
              <w:t>40分</w:t>
            </w:r>
          </w:p>
        </w:tc>
      </w:tr>
    </w:tbl>
    <w:p>
      <w:pPr>
        <w:wordWrap w:val="0"/>
        <w:spacing w:line="276" w:lineRule="auto"/>
        <w:rPr>
          <w:rFonts w:ascii="宋体" w:hAnsi="宋体"/>
          <w:szCs w:val="21"/>
        </w:rPr>
      </w:pPr>
    </w:p>
    <w:p>
      <w:pPr>
        <w:wordWrap w:val="0"/>
        <w:spacing w:line="276" w:lineRule="auto"/>
        <w:rPr>
          <w:rFonts w:ascii="宋体" w:hAnsi="宋体"/>
          <w:szCs w:val="21"/>
        </w:rPr>
      </w:pPr>
      <w:r>
        <w:rPr>
          <w:rFonts w:hint="eastAsia" w:ascii="宋体" w:hAnsi="宋体"/>
          <w:szCs w:val="21"/>
        </w:rPr>
        <w:t>2.1、商务评分表（满分5分）</w:t>
      </w:r>
    </w:p>
    <w:p>
      <w:pPr>
        <w:wordWrap w:val="0"/>
        <w:spacing w:line="276" w:lineRule="auto"/>
        <w:ind w:left="420"/>
        <w:jc w:val="right"/>
        <w:rPr>
          <w:rFonts w:ascii="宋体" w:hAnsi="宋体"/>
          <w:szCs w:val="21"/>
        </w:rPr>
      </w:pPr>
      <w:r>
        <w:rPr>
          <w:rFonts w:hint="eastAsia" w:ascii="宋体" w:hAnsi="宋体"/>
          <w:szCs w:val="21"/>
        </w:rPr>
        <w:t>适用</w:t>
      </w:r>
      <w:r>
        <w:rPr>
          <w:rFonts w:ascii="宋体" w:hAnsi="宋体"/>
          <w:szCs w:val="21"/>
        </w:rPr>
        <w:t>品目一、二</w:t>
      </w:r>
    </w:p>
    <w:tbl>
      <w:tblPr>
        <w:tblStyle w:val="25"/>
        <w:tblW w:w="9766" w:type="dxa"/>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775"/>
        <w:gridCol w:w="4244"/>
        <w:gridCol w:w="734"/>
        <w:gridCol w:w="710"/>
        <w:gridCol w:w="71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1" w:type="dxa"/>
            <w:vAlign w:val="center"/>
          </w:tcPr>
          <w:p>
            <w:pPr>
              <w:wordWrap w:val="0"/>
              <w:spacing w:after="0" w:line="400" w:lineRule="exact"/>
              <w:jc w:val="center"/>
              <w:rPr>
                <w:rFonts w:ascii="宋体" w:hAnsi="宋体"/>
                <w:szCs w:val="21"/>
              </w:rPr>
            </w:pPr>
            <w:r>
              <w:rPr>
                <w:rFonts w:hint="eastAsia" w:ascii="宋体" w:hAnsi="宋体"/>
                <w:szCs w:val="21"/>
              </w:rPr>
              <w:t>序号</w:t>
            </w:r>
          </w:p>
        </w:tc>
        <w:tc>
          <w:tcPr>
            <w:tcW w:w="1775" w:type="dxa"/>
            <w:vAlign w:val="center"/>
          </w:tcPr>
          <w:p>
            <w:pPr>
              <w:wordWrap w:val="0"/>
              <w:spacing w:after="0" w:line="400" w:lineRule="exact"/>
              <w:jc w:val="center"/>
              <w:rPr>
                <w:rFonts w:ascii="宋体" w:hAnsi="宋体"/>
                <w:szCs w:val="21"/>
              </w:rPr>
            </w:pPr>
            <w:r>
              <w:rPr>
                <w:rFonts w:hint="eastAsia" w:ascii="宋体" w:hAnsi="宋体"/>
                <w:szCs w:val="21"/>
              </w:rPr>
              <w:t>评审内容</w:t>
            </w:r>
          </w:p>
        </w:tc>
        <w:tc>
          <w:tcPr>
            <w:tcW w:w="4244" w:type="dxa"/>
            <w:vAlign w:val="center"/>
          </w:tcPr>
          <w:p>
            <w:pPr>
              <w:wordWrap w:val="0"/>
              <w:spacing w:after="0" w:line="400" w:lineRule="exact"/>
              <w:jc w:val="center"/>
              <w:rPr>
                <w:rFonts w:ascii="宋体" w:hAnsi="宋体"/>
                <w:szCs w:val="21"/>
              </w:rPr>
            </w:pPr>
            <w:r>
              <w:rPr>
                <w:rFonts w:hint="eastAsia" w:ascii="宋体" w:hAnsi="宋体"/>
                <w:szCs w:val="21"/>
              </w:rPr>
              <w:t>评审标准</w:t>
            </w:r>
          </w:p>
        </w:tc>
        <w:tc>
          <w:tcPr>
            <w:tcW w:w="734" w:type="dxa"/>
            <w:vAlign w:val="center"/>
          </w:tcPr>
          <w:p>
            <w:pPr>
              <w:wordWrap w:val="0"/>
              <w:spacing w:after="0" w:line="400" w:lineRule="exact"/>
              <w:jc w:val="center"/>
              <w:rPr>
                <w:rFonts w:ascii="宋体" w:hAnsi="宋体"/>
                <w:szCs w:val="21"/>
              </w:rPr>
            </w:pPr>
            <w:r>
              <w:rPr>
                <w:rFonts w:hint="eastAsia" w:ascii="宋体" w:hAnsi="宋体"/>
                <w:szCs w:val="21"/>
              </w:rPr>
              <w:t>分值</w:t>
            </w:r>
          </w:p>
        </w:tc>
        <w:tc>
          <w:tcPr>
            <w:tcW w:w="710" w:type="dxa"/>
            <w:vAlign w:val="center"/>
          </w:tcPr>
          <w:p>
            <w:pPr>
              <w:wordWrap w:val="0"/>
              <w:spacing w:after="0" w:line="400" w:lineRule="exact"/>
              <w:jc w:val="center"/>
              <w:rPr>
                <w:rFonts w:ascii="宋体" w:hAnsi="宋体"/>
                <w:szCs w:val="21"/>
              </w:rPr>
            </w:pPr>
            <w:r>
              <w:rPr>
                <w:rFonts w:hint="eastAsia" w:ascii="宋体" w:hAnsi="宋体"/>
                <w:szCs w:val="21"/>
              </w:rPr>
              <w:t>投标人1</w:t>
            </w:r>
          </w:p>
        </w:tc>
        <w:tc>
          <w:tcPr>
            <w:tcW w:w="711" w:type="dxa"/>
            <w:vAlign w:val="center"/>
          </w:tcPr>
          <w:p>
            <w:pPr>
              <w:wordWrap w:val="0"/>
              <w:spacing w:after="0" w:line="400" w:lineRule="exact"/>
              <w:jc w:val="center"/>
              <w:rPr>
                <w:rFonts w:ascii="宋体" w:hAnsi="宋体"/>
                <w:szCs w:val="21"/>
              </w:rPr>
            </w:pPr>
            <w:r>
              <w:rPr>
                <w:rFonts w:hint="eastAsia" w:ascii="宋体" w:hAnsi="宋体"/>
                <w:szCs w:val="21"/>
              </w:rPr>
              <w:t>投标人2</w:t>
            </w:r>
          </w:p>
        </w:tc>
        <w:tc>
          <w:tcPr>
            <w:tcW w:w="711" w:type="dxa"/>
            <w:vAlign w:val="center"/>
          </w:tcPr>
          <w:p>
            <w:pPr>
              <w:wordWrap w:val="0"/>
              <w:spacing w:after="0" w:line="400" w:lineRule="exact"/>
              <w:jc w:val="center"/>
              <w:rPr>
                <w:rFonts w:ascii="宋体" w:hAnsi="宋体"/>
                <w:szCs w:val="21"/>
              </w:rPr>
            </w:pPr>
            <w:r>
              <w:rPr>
                <w:rFonts w:hint="eastAsia" w:ascii="宋体" w:hAnsi="宋体"/>
                <w:szCs w:val="21"/>
              </w:rPr>
              <w:t>投标人</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881" w:type="dxa"/>
            <w:vAlign w:val="center"/>
          </w:tcPr>
          <w:p>
            <w:pPr>
              <w:wordWrap w:val="0"/>
              <w:spacing w:after="0" w:line="400" w:lineRule="exact"/>
              <w:jc w:val="center"/>
              <w:rPr>
                <w:rFonts w:ascii="宋体" w:hAnsi="宋体"/>
                <w:szCs w:val="21"/>
              </w:rPr>
            </w:pPr>
            <w:r>
              <w:rPr>
                <w:rFonts w:hint="eastAsia" w:ascii="宋体" w:hAnsi="宋体"/>
                <w:szCs w:val="21"/>
              </w:rPr>
              <w:t>1</w:t>
            </w:r>
          </w:p>
        </w:tc>
        <w:tc>
          <w:tcPr>
            <w:tcW w:w="1775" w:type="dxa"/>
            <w:vAlign w:val="center"/>
          </w:tcPr>
          <w:p>
            <w:pPr>
              <w:wordWrap w:val="0"/>
              <w:spacing w:after="0" w:line="400" w:lineRule="exact"/>
              <w:jc w:val="center"/>
              <w:rPr>
                <w:rFonts w:ascii="宋体" w:hAnsi="宋体"/>
                <w:szCs w:val="21"/>
              </w:rPr>
            </w:pPr>
            <w:r>
              <w:rPr>
                <w:rFonts w:hint="eastAsia" w:ascii="宋体" w:hAnsi="宋体"/>
                <w:szCs w:val="21"/>
              </w:rPr>
              <w:t>交货期</w:t>
            </w:r>
          </w:p>
        </w:tc>
        <w:tc>
          <w:tcPr>
            <w:tcW w:w="4244" w:type="dxa"/>
            <w:vAlign w:val="center"/>
          </w:tcPr>
          <w:p>
            <w:pPr>
              <w:wordWrap w:val="0"/>
              <w:spacing w:after="0" w:line="400" w:lineRule="exact"/>
              <w:jc w:val="left"/>
              <w:rPr>
                <w:rFonts w:ascii="宋体" w:hAnsi="宋体"/>
                <w:szCs w:val="21"/>
              </w:rPr>
            </w:pPr>
            <w:r>
              <w:rPr>
                <w:rFonts w:hint="eastAsia" w:ascii="宋体" w:hAnsi="宋体"/>
                <w:szCs w:val="21"/>
              </w:rPr>
              <w:t>交货期满足或优于招标文件要求的，得1分，否则不得分。</w:t>
            </w:r>
          </w:p>
        </w:tc>
        <w:tc>
          <w:tcPr>
            <w:tcW w:w="734" w:type="dxa"/>
            <w:vAlign w:val="center"/>
          </w:tcPr>
          <w:p>
            <w:pPr>
              <w:wordWrap w:val="0"/>
              <w:spacing w:after="0" w:line="400" w:lineRule="exact"/>
              <w:jc w:val="center"/>
              <w:rPr>
                <w:rFonts w:ascii="宋体" w:hAnsi="宋体"/>
                <w:szCs w:val="21"/>
              </w:rPr>
            </w:pPr>
            <w:r>
              <w:rPr>
                <w:rFonts w:hint="eastAsia" w:ascii="宋体" w:hAnsi="宋体"/>
                <w:szCs w:val="21"/>
              </w:rPr>
              <w:t>1</w:t>
            </w:r>
          </w:p>
        </w:tc>
        <w:tc>
          <w:tcPr>
            <w:tcW w:w="710" w:type="dxa"/>
            <w:vAlign w:val="center"/>
          </w:tcPr>
          <w:p>
            <w:pPr>
              <w:wordWrap w:val="0"/>
              <w:spacing w:after="0" w:line="400" w:lineRule="exact"/>
              <w:jc w:val="center"/>
              <w:rPr>
                <w:rFonts w:ascii="宋体" w:hAnsi="宋体"/>
                <w:szCs w:val="21"/>
              </w:rPr>
            </w:pPr>
          </w:p>
        </w:tc>
        <w:tc>
          <w:tcPr>
            <w:tcW w:w="711" w:type="dxa"/>
            <w:vAlign w:val="center"/>
          </w:tcPr>
          <w:p>
            <w:pPr>
              <w:wordWrap w:val="0"/>
              <w:spacing w:after="0" w:line="400" w:lineRule="exact"/>
              <w:jc w:val="center"/>
              <w:rPr>
                <w:rFonts w:ascii="宋体" w:hAnsi="宋体"/>
                <w:szCs w:val="21"/>
              </w:rPr>
            </w:pPr>
          </w:p>
        </w:tc>
        <w:tc>
          <w:tcPr>
            <w:tcW w:w="711" w:type="dxa"/>
            <w:vAlign w:val="center"/>
          </w:tcPr>
          <w:p>
            <w:pPr>
              <w:wordWrap w:val="0"/>
              <w:spacing w:after="0"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881" w:type="dxa"/>
            <w:vAlign w:val="center"/>
          </w:tcPr>
          <w:p>
            <w:pPr>
              <w:wordWrap w:val="0"/>
              <w:spacing w:after="0" w:line="400" w:lineRule="exact"/>
              <w:jc w:val="center"/>
              <w:rPr>
                <w:rFonts w:ascii="宋体" w:hAnsi="宋体"/>
                <w:szCs w:val="21"/>
              </w:rPr>
            </w:pPr>
            <w:r>
              <w:rPr>
                <w:rFonts w:hint="eastAsia" w:ascii="宋体" w:hAnsi="宋体"/>
                <w:szCs w:val="21"/>
              </w:rPr>
              <w:t>2</w:t>
            </w:r>
          </w:p>
        </w:tc>
        <w:tc>
          <w:tcPr>
            <w:tcW w:w="1775" w:type="dxa"/>
            <w:vAlign w:val="center"/>
          </w:tcPr>
          <w:p>
            <w:pPr>
              <w:wordWrap w:val="0"/>
              <w:spacing w:after="0" w:line="400" w:lineRule="exact"/>
              <w:jc w:val="center"/>
              <w:rPr>
                <w:rFonts w:ascii="宋体" w:hAnsi="宋体"/>
                <w:szCs w:val="21"/>
              </w:rPr>
            </w:pPr>
            <w:r>
              <w:rPr>
                <w:rFonts w:hint="eastAsia" w:ascii="宋体" w:hAnsi="宋体"/>
                <w:szCs w:val="21"/>
              </w:rPr>
              <w:t>付款方式</w:t>
            </w:r>
          </w:p>
        </w:tc>
        <w:tc>
          <w:tcPr>
            <w:tcW w:w="4244" w:type="dxa"/>
            <w:vAlign w:val="center"/>
          </w:tcPr>
          <w:p>
            <w:pPr>
              <w:wordWrap w:val="0"/>
              <w:spacing w:after="0" w:line="400" w:lineRule="exact"/>
              <w:jc w:val="left"/>
              <w:rPr>
                <w:rFonts w:ascii="宋体" w:hAnsi="宋体"/>
                <w:szCs w:val="21"/>
              </w:rPr>
            </w:pPr>
            <w:r>
              <w:rPr>
                <w:rFonts w:hint="eastAsia" w:ascii="宋体" w:hAnsi="宋体"/>
                <w:szCs w:val="21"/>
              </w:rPr>
              <w:t>付款方式满足或优于招标文件要求的，得1分，否则不得分。</w:t>
            </w:r>
          </w:p>
        </w:tc>
        <w:tc>
          <w:tcPr>
            <w:tcW w:w="734" w:type="dxa"/>
            <w:vAlign w:val="center"/>
          </w:tcPr>
          <w:p>
            <w:pPr>
              <w:wordWrap w:val="0"/>
              <w:spacing w:after="0" w:line="400" w:lineRule="exact"/>
              <w:jc w:val="center"/>
              <w:rPr>
                <w:rFonts w:ascii="宋体" w:hAnsi="宋体"/>
                <w:szCs w:val="21"/>
              </w:rPr>
            </w:pPr>
            <w:r>
              <w:rPr>
                <w:rFonts w:hint="eastAsia" w:ascii="宋体" w:hAnsi="宋体"/>
                <w:szCs w:val="21"/>
              </w:rPr>
              <w:t>1</w:t>
            </w:r>
          </w:p>
        </w:tc>
        <w:tc>
          <w:tcPr>
            <w:tcW w:w="710" w:type="dxa"/>
            <w:vAlign w:val="center"/>
          </w:tcPr>
          <w:p>
            <w:pPr>
              <w:wordWrap w:val="0"/>
              <w:spacing w:after="0" w:line="400" w:lineRule="exact"/>
              <w:jc w:val="center"/>
              <w:rPr>
                <w:rFonts w:ascii="宋体" w:hAnsi="宋体"/>
                <w:szCs w:val="21"/>
              </w:rPr>
            </w:pPr>
          </w:p>
        </w:tc>
        <w:tc>
          <w:tcPr>
            <w:tcW w:w="711" w:type="dxa"/>
            <w:vAlign w:val="center"/>
          </w:tcPr>
          <w:p>
            <w:pPr>
              <w:wordWrap w:val="0"/>
              <w:spacing w:after="0" w:line="400" w:lineRule="exact"/>
              <w:jc w:val="center"/>
              <w:rPr>
                <w:rFonts w:ascii="宋体" w:hAnsi="宋体"/>
                <w:szCs w:val="21"/>
              </w:rPr>
            </w:pPr>
          </w:p>
        </w:tc>
        <w:tc>
          <w:tcPr>
            <w:tcW w:w="711" w:type="dxa"/>
            <w:vAlign w:val="center"/>
          </w:tcPr>
          <w:p>
            <w:pPr>
              <w:wordWrap w:val="0"/>
              <w:spacing w:after="0"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881" w:type="dxa"/>
            <w:vAlign w:val="center"/>
          </w:tcPr>
          <w:p>
            <w:pPr>
              <w:wordWrap w:val="0"/>
              <w:spacing w:after="0" w:line="400" w:lineRule="exact"/>
              <w:jc w:val="center"/>
              <w:rPr>
                <w:rFonts w:ascii="宋体" w:hAnsi="宋体"/>
                <w:szCs w:val="21"/>
              </w:rPr>
            </w:pPr>
            <w:r>
              <w:rPr>
                <w:rFonts w:hint="eastAsia" w:ascii="宋体" w:hAnsi="宋体"/>
                <w:szCs w:val="21"/>
              </w:rPr>
              <w:t>3</w:t>
            </w:r>
          </w:p>
        </w:tc>
        <w:tc>
          <w:tcPr>
            <w:tcW w:w="1775" w:type="dxa"/>
            <w:vAlign w:val="center"/>
          </w:tcPr>
          <w:p>
            <w:pPr>
              <w:wordWrap w:val="0"/>
              <w:spacing w:after="0" w:line="400" w:lineRule="exact"/>
              <w:jc w:val="center"/>
              <w:rPr>
                <w:rFonts w:ascii="宋体" w:hAnsi="宋体"/>
                <w:szCs w:val="21"/>
              </w:rPr>
            </w:pPr>
            <w:r>
              <w:rPr>
                <w:rFonts w:hint="eastAsia" w:ascii="宋体" w:hAnsi="宋体"/>
                <w:szCs w:val="21"/>
              </w:rPr>
              <w:t>业绩要求</w:t>
            </w:r>
          </w:p>
        </w:tc>
        <w:tc>
          <w:tcPr>
            <w:tcW w:w="4244" w:type="dxa"/>
            <w:vAlign w:val="center"/>
          </w:tcPr>
          <w:p>
            <w:pPr>
              <w:wordWrap w:val="0"/>
              <w:spacing w:after="0" w:line="400" w:lineRule="exact"/>
              <w:jc w:val="left"/>
              <w:rPr>
                <w:rFonts w:ascii="宋体" w:hAnsi="宋体"/>
                <w:sz w:val="23"/>
              </w:rPr>
            </w:pPr>
            <w:r>
              <w:rPr>
                <w:rFonts w:hint="eastAsia" w:ascii="宋体" w:hAnsi="宋体"/>
                <w:szCs w:val="21"/>
              </w:rPr>
              <w:t>根据投标人近三年提供的同类设备（同一型号）销售业绩进行相对比较评议：好3分；较好2分；一般1分；未提供不得分。</w:t>
            </w:r>
          </w:p>
        </w:tc>
        <w:tc>
          <w:tcPr>
            <w:tcW w:w="734" w:type="dxa"/>
            <w:vAlign w:val="center"/>
          </w:tcPr>
          <w:p>
            <w:pPr>
              <w:wordWrap w:val="0"/>
              <w:spacing w:after="0" w:line="400" w:lineRule="exact"/>
              <w:jc w:val="center"/>
              <w:rPr>
                <w:rFonts w:ascii="宋体" w:hAnsi="宋体"/>
                <w:szCs w:val="21"/>
              </w:rPr>
            </w:pPr>
            <w:r>
              <w:rPr>
                <w:rFonts w:hint="eastAsia" w:ascii="宋体" w:hAnsi="宋体"/>
                <w:szCs w:val="21"/>
              </w:rPr>
              <w:t>3</w:t>
            </w:r>
          </w:p>
        </w:tc>
        <w:tc>
          <w:tcPr>
            <w:tcW w:w="710" w:type="dxa"/>
            <w:vAlign w:val="center"/>
          </w:tcPr>
          <w:p>
            <w:pPr>
              <w:wordWrap w:val="0"/>
              <w:spacing w:after="0" w:line="400" w:lineRule="exact"/>
              <w:jc w:val="center"/>
              <w:rPr>
                <w:rFonts w:ascii="宋体" w:hAnsi="宋体"/>
                <w:szCs w:val="21"/>
              </w:rPr>
            </w:pPr>
          </w:p>
        </w:tc>
        <w:tc>
          <w:tcPr>
            <w:tcW w:w="711" w:type="dxa"/>
            <w:vAlign w:val="center"/>
          </w:tcPr>
          <w:p>
            <w:pPr>
              <w:wordWrap w:val="0"/>
              <w:spacing w:after="0" w:line="400" w:lineRule="exact"/>
              <w:jc w:val="center"/>
              <w:rPr>
                <w:rFonts w:ascii="宋体" w:hAnsi="宋体"/>
                <w:szCs w:val="21"/>
              </w:rPr>
            </w:pPr>
          </w:p>
        </w:tc>
        <w:tc>
          <w:tcPr>
            <w:tcW w:w="711" w:type="dxa"/>
            <w:vAlign w:val="center"/>
          </w:tcPr>
          <w:p>
            <w:pPr>
              <w:wordWrap w:val="0"/>
              <w:spacing w:after="0" w:line="400" w:lineRule="exact"/>
              <w:jc w:val="center"/>
              <w:rPr>
                <w:rFonts w:ascii="宋体" w:hAnsi="宋体"/>
                <w:szCs w:val="21"/>
              </w:rPr>
            </w:pPr>
          </w:p>
        </w:tc>
      </w:tr>
    </w:tbl>
    <w:p>
      <w:pPr>
        <w:wordWrap w:val="0"/>
        <w:spacing w:line="276" w:lineRule="auto"/>
        <w:ind w:left="420"/>
        <w:rPr>
          <w:rFonts w:ascii="宋体" w:hAnsi="宋体"/>
          <w:szCs w:val="21"/>
        </w:rPr>
      </w:pPr>
    </w:p>
    <w:p>
      <w:pPr>
        <w:rPr>
          <w:rFonts w:ascii="宋体" w:hAnsi="宋体"/>
          <w:szCs w:val="21"/>
        </w:rPr>
      </w:pPr>
      <w:r>
        <w:rPr>
          <w:rFonts w:hint="eastAsia" w:ascii="宋体" w:hAnsi="宋体"/>
          <w:szCs w:val="21"/>
        </w:rPr>
        <w:br w:type="page"/>
      </w:r>
    </w:p>
    <w:p>
      <w:pPr>
        <w:wordWrap w:val="0"/>
        <w:spacing w:line="276" w:lineRule="auto"/>
        <w:rPr>
          <w:rFonts w:ascii="宋体" w:hAnsi="宋体"/>
          <w:szCs w:val="21"/>
        </w:rPr>
      </w:pPr>
      <w:r>
        <w:rPr>
          <w:rFonts w:hint="eastAsia" w:ascii="宋体" w:hAnsi="宋体"/>
          <w:szCs w:val="21"/>
        </w:rPr>
        <w:t>2.2、技术评分表（满分45分）</w:t>
      </w:r>
    </w:p>
    <w:p>
      <w:pPr>
        <w:wordWrap w:val="0"/>
        <w:spacing w:line="276" w:lineRule="auto"/>
        <w:ind w:left="420" w:right="105"/>
        <w:rPr>
          <w:rFonts w:ascii="宋体" w:hAnsi="宋体"/>
          <w:szCs w:val="21"/>
        </w:rPr>
      </w:pPr>
      <w:r>
        <w:rPr>
          <w:rFonts w:hint="eastAsia" w:ascii="宋体" w:hAnsi="宋体"/>
          <w:szCs w:val="21"/>
        </w:rPr>
        <w:t>适用</w:t>
      </w:r>
      <w:r>
        <w:rPr>
          <w:rFonts w:ascii="宋体" w:hAnsi="宋体"/>
          <w:szCs w:val="21"/>
        </w:rPr>
        <w:t>品目一</w:t>
      </w:r>
    </w:p>
    <w:tbl>
      <w:tblPr>
        <w:tblStyle w:val="25"/>
        <w:tblW w:w="9735" w:type="dxa"/>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559"/>
        <w:gridCol w:w="4678"/>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Align w:val="center"/>
          </w:tcPr>
          <w:p>
            <w:pPr>
              <w:wordWrap w:val="0"/>
              <w:spacing w:after="0" w:line="400" w:lineRule="exact"/>
              <w:jc w:val="center"/>
              <w:rPr>
                <w:rFonts w:ascii="宋体" w:hAnsi="宋体"/>
                <w:szCs w:val="21"/>
              </w:rPr>
            </w:pPr>
            <w:r>
              <w:rPr>
                <w:rFonts w:hint="eastAsia" w:ascii="宋体" w:hAnsi="宋体"/>
                <w:szCs w:val="21"/>
              </w:rPr>
              <w:t>序号</w:t>
            </w:r>
          </w:p>
        </w:tc>
        <w:tc>
          <w:tcPr>
            <w:tcW w:w="1559" w:type="dxa"/>
            <w:vAlign w:val="center"/>
          </w:tcPr>
          <w:p>
            <w:pPr>
              <w:wordWrap w:val="0"/>
              <w:spacing w:after="0" w:line="400" w:lineRule="exact"/>
              <w:ind w:left="-105" w:leftChars="-50" w:right="-105" w:rightChars="-50"/>
              <w:jc w:val="center"/>
              <w:rPr>
                <w:rFonts w:ascii="宋体" w:hAnsi="宋体"/>
                <w:szCs w:val="21"/>
              </w:rPr>
            </w:pPr>
            <w:r>
              <w:rPr>
                <w:rFonts w:hint="eastAsia" w:ascii="宋体" w:hAnsi="宋体"/>
                <w:szCs w:val="21"/>
              </w:rPr>
              <w:t>评审内容</w:t>
            </w:r>
          </w:p>
        </w:tc>
        <w:tc>
          <w:tcPr>
            <w:tcW w:w="4678" w:type="dxa"/>
            <w:vAlign w:val="center"/>
          </w:tcPr>
          <w:p>
            <w:pPr>
              <w:wordWrap w:val="0"/>
              <w:spacing w:after="0" w:line="400" w:lineRule="exact"/>
              <w:jc w:val="center"/>
              <w:rPr>
                <w:rFonts w:ascii="宋体" w:hAnsi="宋体"/>
                <w:szCs w:val="21"/>
              </w:rPr>
            </w:pPr>
            <w:r>
              <w:rPr>
                <w:rFonts w:hint="eastAsia" w:ascii="宋体" w:hAnsi="宋体"/>
                <w:szCs w:val="21"/>
              </w:rPr>
              <w:t>评审标准</w:t>
            </w:r>
          </w:p>
        </w:tc>
        <w:tc>
          <w:tcPr>
            <w:tcW w:w="709" w:type="dxa"/>
            <w:vAlign w:val="center"/>
          </w:tcPr>
          <w:p>
            <w:pPr>
              <w:wordWrap w:val="0"/>
              <w:spacing w:after="0" w:line="400" w:lineRule="exact"/>
              <w:jc w:val="center"/>
              <w:rPr>
                <w:rFonts w:ascii="宋体" w:hAnsi="宋体"/>
                <w:szCs w:val="21"/>
              </w:rPr>
            </w:pPr>
            <w:r>
              <w:rPr>
                <w:rFonts w:hint="eastAsia" w:ascii="宋体" w:hAnsi="宋体"/>
                <w:szCs w:val="21"/>
              </w:rPr>
              <w:t>分值</w:t>
            </w:r>
          </w:p>
        </w:tc>
        <w:tc>
          <w:tcPr>
            <w:tcW w:w="708" w:type="dxa"/>
            <w:vAlign w:val="center"/>
          </w:tcPr>
          <w:p>
            <w:pPr>
              <w:wordWrap w:val="0"/>
              <w:spacing w:after="0" w:line="400" w:lineRule="exact"/>
              <w:jc w:val="center"/>
              <w:rPr>
                <w:rFonts w:ascii="宋体" w:hAnsi="宋体"/>
                <w:szCs w:val="21"/>
              </w:rPr>
            </w:pPr>
            <w:r>
              <w:rPr>
                <w:rFonts w:hint="eastAsia" w:ascii="宋体" w:hAnsi="宋体"/>
                <w:szCs w:val="21"/>
              </w:rPr>
              <w:t>投标人1</w:t>
            </w:r>
          </w:p>
        </w:tc>
        <w:tc>
          <w:tcPr>
            <w:tcW w:w="709" w:type="dxa"/>
            <w:vAlign w:val="center"/>
          </w:tcPr>
          <w:p>
            <w:pPr>
              <w:wordWrap w:val="0"/>
              <w:spacing w:after="0" w:line="400" w:lineRule="exact"/>
              <w:jc w:val="center"/>
              <w:rPr>
                <w:rFonts w:ascii="宋体" w:hAnsi="宋体"/>
                <w:szCs w:val="21"/>
              </w:rPr>
            </w:pPr>
            <w:r>
              <w:rPr>
                <w:rFonts w:hint="eastAsia" w:ascii="宋体" w:hAnsi="宋体"/>
                <w:szCs w:val="21"/>
              </w:rPr>
              <w:t>投标人2</w:t>
            </w:r>
          </w:p>
        </w:tc>
        <w:tc>
          <w:tcPr>
            <w:tcW w:w="709" w:type="dxa"/>
            <w:vAlign w:val="center"/>
          </w:tcPr>
          <w:p>
            <w:pPr>
              <w:wordWrap w:val="0"/>
              <w:spacing w:after="0" w:line="400" w:lineRule="exact"/>
              <w:jc w:val="center"/>
              <w:rPr>
                <w:rFonts w:ascii="宋体" w:hAnsi="宋体"/>
                <w:szCs w:val="21"/>
              </w:rPr>
            </w:pPr>
            <w:r>
              <w:rPr>
                <w:rFonts w:hint="eastAsia" w:ascii="宋体" w:hAnsi="宋体"/>
                <w:szCs w:val="21"/>
              </w:rPr>
              <w:t>投标人</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Align w:val="center"/>
          </w:tcPr>
          <w:p>
            <w:pPr>
              <w:wordWrap w:val="0"/>
              <w:spacing w:after="0" w:line="400" w:lineRule="exact"/>
              <w:jc w:val="center"/>
              <w:rPr>
                <w:rFonts w:ascii="宋体" w:hAnsi="宋体"/>
                <w:szCs w:val="21"/>
              </w:rPr>
            </w:pPr>
            <w:r>
              <w:rPr>
                <w:rFonts w:hint="eastAsia" w:ascii="宋体" w:hAnsi="宋体"/>
                <w:szCs w:val="21"/>
              </w:rPr>
              <w:t>1</w:t>
            </w:r>
          </w:p>
        </w:tc>
        <w:tc>
          <w:tcPr>
            <w:tcW w:w="1559" w:type="dxa"/>
            <w:vAlign w:val="center"/>
          </w:tcPr>
          <w:p>
            <w:pPr>
              <w:wordWrap w:val="0"/>
              <w:spacing w:after="0" w:line="240" w:lineRule="auto"/>
              <w:ind w:left="-105" w:leftChars="-50" w:right="-105" w:rightChars="-50"/>
              <w:jc w:val="center"/>
              <w:rPr>
                <w:rFonts w:ascii="宋体" w:hAnsi="宋体"/>
                <w:szCs w:val="21"/>
              </w:rPr>
            </w:pPr>
            <w:r>
              <w:rPr>
                <w:rFonts w:hint="eastAsia" w:ascii="宋体" w:hAnsi="宋体"/>
                <w:szCs w:val="21"/>
              </w:rPr>
              <w:t>对招标文件的技术响应</w:t>
            </w:r>
          </w:p>
        </w:tc>
        <w:tc>
          <w:tcPr>
            <w:tcW w:w="4678" w:type="dxa"/>
            <w:vAlign w:val="center"/>
          </w:tcPr>
          <w:p>
            <w:pPr>
              <w:pStyle w:val="7"/>
              <w:wordWrap w:val="0"/>
              <w:spacing w:after="0" w:line="240" w:lineRule="auto"/>
              <w:jc w:val="both"/>
              <w:rPr>
                <w:rFonts w:ascii="宋体" w:hAnsi="宋体"/>
                <w:szCs w:val="21"/>
              </w:rPr>
            </w:pPr>
            <w:r>
              <w:rPr>
                <w:rFonts w:hint="eastAsia" w:ascii="宋体" w:hAnsi="宋体"/>
                <w:szCs w:val="21"/>
              </w:rPr>
              <w:t>投标人如有带“*”的技术指标的负偏离将导致无效标处理；</w:t>
            </w:r>
            <w:r>
              <w:rPr>
                <w:rFonts w:hint="eastAsia" w:ascii="宋体" w:hAnsi="宋体"/>
                <w:szCs w:val="21"/>
                <w:lang w:val="zh-CN"/>
              </w:rPr>
              <w:t>对于其他</w:t>
            </w:r>
            <w:r>
              <w:rPr>
                <w:rFonts w:ascii="宋体" w:hAnsi="宋体"/>
                <w:szCs w:val="21"/>
              </w:rPr>
              <w:t>非</w:t>
            </w:r>
            <w:r>
              <w:rPr>
                <w:rFonts w:hint="eastAsia" w:ascii="宋体" w:hAnsi="宋体"/>
                <w:szCs w:val="21"/>
              </w:rPr>
              <w:t>“</w:t>
            </w:r>
            <w:r>
              <w:rPr>
                <w:rFonts w:ascii="宋体" w:hAnsi="宋体"/>
                <w:szCs w:val="21"/>
              </w:rPr>
              <w:t>*</w:t>
            </w:r>
            <w:r>
              <w:rPr>
                <w:rFonts w:hint="eastAsia" w:ascii="宋体" w:hAnsi="宋体"/>
                <w:szCs w:val="21"/>
              </w:rPr>
              <w:t>”</w:t>
            </w:r>
            <w:r>
              <w:rPr>
                <w:rFonts w:hint="eastAsia" w:ascii="宋体" w:hAnsi="宋体"/>
                <w:szCs w:val="21"/>
                <w:lang w:val="zh-CN"/>
              </w:rPr>
              <w:t>的技术条款</w:t>
            </w:r>
            <w:r>
              <w:rPr>
                <w:rFonts w:hint="eastAsia" w:ascii="宋体" w:hAnsi="宋体"/>
                <w:szCs w:val="21"/>
              </w:rPr>
              <w:t>，每负偏离一条扣2分，扣完为止。</w:t>
            </w:r>
          </w:p>
        </w:tc>
        <w:tc>
          <w:tcPr>
            <w:tcW w:w="709" w:type="dxa"/>
            <w:vAlign w:val="center"/>
          </w:tcPr>
          <w:p>
            <w:pPr>
              <w:wordWrap w:val="0"/>
              <w:spacing w:after="0" w:line="240" w:lineRule="auto"/>
              <w:jc w:val="center"/>
              <w:rPr>
                <w:rFonts w:ascii="宋体" w:hAnsi="宋体"/>
                <w:szCs w:val="21"/>
              </w:rPr>
            </w:pPr>
            <w:r>
              <w:rPr>
                <w:rFonts w:ascii="宋体" w:hAnsi="宋体"/>
                <w:szCs w:val="21"/>
              </w:rPr>
              <w:t>12</w:t>
            </w:r>
          </w:p>
        </w:tc>
        <w:tc>
          <w:tcPr>
            <w:tcW w:w="708"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Merge w:val="restart"/>
            <w:vAlign w:val="center"/>
          </w:tcPr>
          <w:p>
            <w:pPr>
              <w:wordWrap w:val="0"/>
              <w:spacing w:after="0" w:line="400" w:lineRule="exact"/>
              <w:jc w:val="center"/>
              <w:rPr>
                <w:rFonts w:ascii="宋体" w:hAnsi="宋体"/>
                <w:szCs w:val="21"/>
              </w:rPr>
            </w:pPr>
            <w:r>
              <w:rPr>
                <w:rFonts w:ascii="宋体" w:hAnsi="宋体"/>
                <w:szCs w:val="21"/>
              </w:rPr>
              <w:t>2</w:t>
            </w:r>
          </w:p>
        </w:tc>
        <w:tc>
          <w:tcPr>
            <w:tcW w:w="1559" w:type="dxa"/>
            <w:vMerge w:val="restart"/>
            <w:vAlign w:val="center"/>
          </w:tcPr>
          <w:p>
            <w:pPr>
              <w:wordWrap w:val="0"/>
              <w:spacing w:after="0" w:line="240" w:lineRule="auto"/>
              <w:jc w:val="left"/>
              <w:rPr>
                <w:rFonts w:ascii="宋体" w:hAnsi="宋体"/>
                <w:szCs w:val="21"/>
              </w:rPr>
            </w:pPr>
            <w:r>
              <w:rPr>
                <w:rFonts w:hint="eastAsia" w:ascii="宋体" w:hAnsi="宋体"/>
                <w:szCs w:val="21"/>
              </w:rPr>
              <w:t>对投标产品的配置情况与设备的先进性进行综合评议。</w:t>
            </w:r>
          </w:p>
        </w:tc>
        <w:tc>
          <w:tcPr>
            <w:tcW w:w="4678" w:type="dxa"/>
          </w:tcPr>
          <w:p>
            <w:pPr>
              <w:wordWrap w:val="0"/>
              <w:spacing w:after="0" w:line="240" w:lineRule="auto"/>
              <w:jc w:val="left"/>
              <w:rPr>
                <w:rFonts w:ascii="宋体" w:hAnsi="宋体"/>
                <w:szCs w:val="21"/>
              </w:rPr>
            </w:pPr>
            <w:r>
              <w:rPr>
                <w:rFonts w:ascii="宋体" w:hAnsi="宋体"/>
                <w:szCs w:val="21"/>
              </w:rPr>
              <w:t>1</w:t>
            </w:r>
            <w:r>
              <w:rPr>
                <w:rFonts w:hint="eastAsia" w:ascii="宋体" w:hAnsi="宋体"/>
                <w:szCs w:val="21"/>
              </w:rPr>
              <w:t>）投标产品的技术先进性：</w:t>
            </w:r>
            <w:r>
              <w:rPr>
                <w:rFonts w:ascii="宋体" w:hAnsi="宋体"/>
                <w:szCs w:val="21"/>
              </w:rPr>
              <w:t>10</w:t>
            </w:r>
            <w:r>
              <w:rPr>
                <w:rFonts w:hint="eastAsia" w:ascii="宋体" w:hAnsi="宋体"/>
                <w:szCs w:val="21"/>
              </w:rPr>
              <w:t>分；</w:t>
            </w:r>
          </w:p>
          <w:p>
            <w:pPr>
              <w:spacing w:after="0" w:line="240" w:lineRule="auto"/>
              <w:rPr>
                <w:szCs w:val="21"/>
              </w:rPr>
            </w:pPr>
            <w:r>
              <w:rPr>
                <w:szCs w:val="21"/>
              </w:rPr>
              <w:t>根据各投标人提供的</w:t>
            </w:r>
            <w:r>
              <w:rPr>
                <w:rFonts w:hint="eastAsia"/>
                <w:szCs w:val="21"/>
              </w:rPr>
              <w:t>矢量网络分析仪</w:t>
            </w:r>
            <w:r>
              <w:rPr>
                <w:rFonts w:hint="eastAsia" w:ascii="宋体" w:hAnsi="宋体"/>
                <w:szCs w:val="21"/>
              </w:rPr>
              <w:t>技术先进性</w:t>
            </w:r>
            <w:r>
              <w:rPr>
                <w:szCs w:val="21"/>
              </w:rPr>
              <w:t>进行相对评价。</w:t>
            </w:r>
          </w:p>
          <w:p>
            <w:pPr>
              <w:wordWrap w:val="0"/>
              <w:spacing w:after="0" w:line="240" w:lineRule="auto"/>
              <w:jc w:val="left"/>
              <w:rPr>
                <w:rFonts w:ascii="宋体" w:hAnsi="宋体"/>
                <w:szCs w:val="21"/>
              </w:rPr>
            </w:pPr>
            <w:r>
              <w:rPr>
                <w:rFonts w:hint="eastAsia" w:ascii="宋体" w:hAnsi="宋体"/>
                <w:szCs w:val="21"/>
              </w:rPr>
              <w:t>8分≤最优≤10分，6分≤较优＜8分，4分≤一般＜6分，0分≤差＜4。</w:t>
            </w:r>
          </w:p>
        </w:tc>
        <w:tc>
          <w:tcPr>
            <w:tcW w:w="709" w:type="dxa"/>
            <w:vAlign w:val="center"/>
          </w:tcPr>
          <w:p>
            <w:pPr>
              <w:wordWrap w:val="0"/>
              <w:spacing w:after="0" w:line="240" w:lineRule="auto"/>
              <w:jc w:val="center"/>
              <w:rPr>
                <w:rFonts w:ascii="宋体" w:hAnsi="宋体"/>
                <w:szCs w:val="21"/>
              </w:rPr>
            </w:pPr>
            <w:r>
              <w:rPr>
                <w:rFonts w:ascii="宋体" w:hAnsi="宋体"/>
                <w:szCs w:val="21"/>
              </w:rPr>
              <w:t>10</w:t>
            </w:r>
          </w:p>
        </w:tc>
        <w:tc>
          <w:tcPr>
            <w:tcW w:w="708"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Merge w:val="continue"/>
            <w:vAlign w:val="center"/>
          </w:tcPr>
          <w:p>
            <w:pPr>
              <w:wordWrap w:val="0"/>
              <w:spacing w:after="0" w:line="400" w:lineRule="exact"/>
              <w:jc w:val="center"/>
              <w:rPr>
                <w:rFonts w:ascii="宋体" w:hAnsi="宋体"/>
                <w:szCs w:val="21"/>
              </w:rPr>
            </w:pPr>
          </w:p>
        </w:tc>
        <w:tc>
          <w:tcPr>
            <w:tcW w:w="1559" w:type="dxa"/>
            <w:vMerge w:val="continue"/>
            <w:vAlign w:val="center"/>
          </w:tcPr>
          <w:p>
            <w:pPr>
              <w:wordWrap w:val="0"/>
              <w:spacing w:after="0" w:line="240" w:lineRule="auto"/>
              <w:jc w:val="left"/>
              <w:rPr>
                <w:rFonts w:ascii="宋体" w:hAnsi="宋体"/>
                <w:szCs w:val="21"/>
              </w:rPr>
            </w:pPr>
          </w:p>
        </w:tc>
        <w:tc>
          <w:tcPr>
            <w:tcW w:w="4678" w:type="dxa"/>
          </w:tcPr>
          <w:p>
            <w:pPr>
              <w:wordWrap w:val="0"/>
              <w:spacing w:after="0" w:line="240" w:lineRule="auto"/>
              <w:jc w:val="left"/>
              <w:rPr>
                <w:rFonts w:ascii="宋体" w:hAnsi="宋体"/>
                <w:szCs w:val="21"/>
              </w:rPr>
            </w:pPr>
            <w:r>
              <w:rPr>
                <w:rFonts w:ascii="宋体" w:hAnsi="宋体"/>
                <w:szCs w:val="21"/>
              </w:rPr>
              <w:t>2</w:t>
            </w:r>
            <w:r>
              <w:rPr>
                <w:rFonts w:hint="eastAsia" w:ascii="宋体" w:hAnsi="宋体"/>
                <w:szCs w:val="21"/>
              </w:rPr>
              <w:t>）投标产品质量和稳定性：5分；</w:t>
            </w:r>
          </w:p>
          <w:p>
            <w:pPr>
              <w:spacing w:after="0" w:line="240" w:lineRule="auto"/>
              <w:rPr>
                <w:szCs w:val="21"/>
              </w:rPr>
            </w:pPr>
            <w:r>
              <w:rPr>
                <w:szCs w:val="21"/>
              </w:rPr>
              <w:t>根据各投标人提供的</w:t>
            </w:r>
            <w:r>
              <w:rPr>
                <w:rFonts w:hint="eastAsia"/>
                <w:szCs w:val="21"/>
              </w:rPr>
              <w:t>矢量网络分析仪</w:t>
            </w:r>
            <w:r>
              <w:rPr>
                <w:rFonts w:hint="eastAsia" w:ascii="宋体" w:hAnsi="宋体"/>
                <w:szCs w:val="21"/>
              </w:rPr>
              <w:t>质量和稳定性</w:t>
            </w:r>
            <w:r>
              <w:rPr>
                <w:szCs w:val="21"/>
              </w:rPr>
              <w:t>进行相对评价。</w:t>
            </w:r>
          </w:p>
          <w:p>
            <w:pPr>
              <w:wordWrap w:val="0"/>
              <w:spacing w:after="0" w:line="240" w:lineRule="auto"/>
              <w:jc w:val="left"/>
              <w:rPr>
                <w:rFonts w:ascii="宋体" w:hAnsi="宋体"/>
                <w:szCs w:val="21"/>
              </w:rPr>
            </w:pPr>
            <w:r>
              <w:rPr>
                <w:rFonts w:hint="eastAsia" w:ascii="宋体" w:hAnsi="宋体"/>
                <w:szCs w:val="21"/>
              </w:rPr>
              <w:t>4≤最优≤5，3≤较优＜4，2≤一般＜3，0≤差＜2。</w:t>
            </w:r>
          </w:p>
        </w:tc>
        <w:tc>
          <w:tcPr>
            <w:tcW w:w="709" w:type="dxa"/>
            <w:vAlign w:val="center"/>
          </w:tcPr>
          <w:p>
            <w:pPr>
              <w:wordWrap w:val="0"/>
              <w:spacing w:after="0" w:line="240" w:lineRule="auto"/>
              <w:jc w:val="center"/>
              <w:rPr>
                <w:rFonts w:ascii="宋体" w:hAnsi="宋体"/>
                <w:szCs w:val="21"/>
              </w:rPr>
            </w:pPr>
            <w:r>
              <w:rPr>
                <w:rFonts w:hint="eastAsia" w:ascii="宋体" w:hAnsi="宋体"/>
                <w:szCs w:val="21"/>
              </w:rPr>
              <w:t>5</w:t>
            </w:r>
          </w:p>
        </w:tc>
        <w:tc>
          <w:tcPr>
            <w:tcW w:w="708"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Merge w:val="continue"/>
            <w:vAlign w:val="center"/>
          </w:tcPr>
          <w:p>
            <w:pPr>
              <w:wordWrap w:val="0"/>
              <w:spacing w:after="0" w:line="400" w:lineRule="exact"/>
              <w:jc w:val="center"/>
              <w:rPr>
                <w:rFonts w:ascii="宋体" w:hAnsi="宋体"/>
                <w:szCs w:val="21"/>
              </w:rPr>
            </w:pPr>
          </w:p>
        </w:tc>
        <w:tc>
          <w:tcPr>
            <w:tcW w:w="1559" w:type="dxa"/>
            <w:vMerge w:val="continue"/>
            <w:vAlign w:val="center"/>
          </w:tcPr>
          <w:p>
            <w:pPr>
              <w:wordWrap w:val="0"/>
              <w:spacing w:after="0" w:line="240" w:lineRule="auto"/>
              <w:jc w:val="left"/>
              <w:rPr>
                <w:rFonts w:ascii="宋体" w:hAnsi="宋体"/>
                <w:szCs w:val="21"/>
              </w:rPr>
            </w:pPr>
          </w:p>
        </w:tc>
        <w:tc>
          <w:tcPr>
            <w:tcW w:w="4678" w:type="dxa"/>
          </w:tcPr>
          <w:p>
            <w:pPr>
              <w:wordWrap w:val="0"/>
              <w:spacing w:after="0" w:line="240" w:lineRule="auto"/>
              <w:jc w:val="left"/>
              <w:rPr>
                <w:rFonts w:ascii="宋体" w:hAnsi="宋体"/>
                <w:szCs w:val="21"/>
              </w:rPr>
            </w:pPr>
            <w:r>
              <w:rPr>
                <w:rFonts w:hint="eastAsia" w:ascii="宋体" w:hAnsi="宋体"/>
                <w:szCs w:val="21"/>
              </w:rPr>
              <w:t>3）投标产品的操控适用性：5分；</w:t>
            </w:r>
          </w:p>
          <w:p>
            <w:pPr>
              <w:spacing w:after="0" w:line="240" w:lineRule="auto"/>
              <w:rPr>
                <w:szCs w:val="21"/>
              </w:rPr>
            </w:pPr>
            <w:r>
              <w:rPr>
                <w:szCs w:val="21"/>
              </w:rPr>
              <w:t>根据各投标人提供的</w:t>
            </w:r>
            <w:r>
              <w:rPr>
                <w:rFonts w:hint="eastAsia"/>
                <w:szCs w:val="21"/>
              </w:rPr>
              <w:t>矢量网络分析仪</w:t>
            </w:r>
            <w:r>
              <w:rPr>
                <w:rFonts w:hint="eastAsia" w:ascii="宋体" w:hAnsi="宋体"/>
                <w:szCs w:val="21"/>
              </w:rPr>
              <w:t>操控适用性</w:t>
            </w:r>
            <w:r>
              <w:rPr>
                <w:szCs w:val="21"/>
              </w:rPr>
              <w:t>进行相对评价。</w:t>
            </w:r>
          </w:p>
          <w:p>
            <w:pPr>
              <w:wordWrap w:val="0"/>
              <w:spacing w:after="0" w:line="240" w:lineRule="auto"/>
              <w:jc w:val="left"/>
              <w:rPr>
                <w:rFonts w:ascii="宋体" w:hAnsi="宋体"/>
                <w:szCs w:val="21"/>
              </w:rPr>
            </w:pPr>
            <w:r>
              <w:rPr>
                <w:rFonts w:hint="eastAsia" w:ascii="宋体" w:hAnsi="宋体"/>
                <w:szCs w:val="21"/>
              </w:rPr>
              <w:t>4≤最优≤5，3≤较优＜4，2≤一般＜3，0≤差＜2。</w:t>
            </w:r>
          </w:p>
        </w:tc>
        <w:tc>
          <w:tcPr>
            <w:tcW w:w="709" w:type="dxa"/>
            <w:vAlign w:val="center"/>
          </w:tcPr>
          <w:p>
            <w:pPr>
              <w:wordWrap w:val="0"/>
              <w:spacing w:after="0" w:line="240" w:lineRule="auto"/>
              <w:jc w:val="center"/>
              <w:rPr>
                <w:rFonts w:ascii="宋体" w:hAnsi="宋体"/>
                <w:szCs w:val="21"/>
              </w:rPr>
            </w:pPr>
            <w:r>
              <w:rPr>
                <w:rFonts w:hint="eastAsia" w:ascii="宋体" w:hAnsi="宋体"/>
                <w:szCs w:val="21"/>
              </w:rPr>
              <w:t>5</w:t>
            </w:r>
          </w:p>
        </w:tc>
        <w:tc>
          <w:tcPr>
            <w:tcW w:w="708"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Merge w:val="continue"/>
            <w:vAlign w:val="center"/>
          </w:tcPr>
          <w:p>
            <w:pPr>
              <w:wordWrap w:val="0"/>
              <w:spacing w:after="0" w:line="400" w:lineRule="exact"/>
              <w:jc w:val="center"/>
              <w:rPr>
                <w:rFonts w:ascii="宋体" w:hAnsi="宋体"/>
                <w:szCs w:val="21"/>
              </w:rPr>
            </w:pPr>
          </w:p>
        </w:tc>
        <w:tc>
          <w:tcPr>
            <w:tcW w:w="1559" w:type="dxa"/>
            <w:vMerge w:val="continue"/>
            <w:vAlign w:val="center"/>
          </w:tcPr>
          <w:p>
            <w:pPr>
              <w:wordWrap w:val="0"/>
              <w:spacing w:after="0" w:line="240" w:lineRule="auto"/>
              <w:jc w:val="left"/>
              <w:rPr>
                <w:rFonts w:ascii="宋体" w:hAnsi="宋体"/>
                <w:szCs w:val="21"/>
              </w:rPr>
            </w:pPr>
          </w:p>
        </w:tc>
        <w:tc>
          <w:tcPr>
            <w:tcW w:w="4678" w:type="dxa"/>
          </w:tcPr>
          <w:p>
            <w:pPr>
              <w:spacing w:after="0" w:line="240" w:lineRule="auto"/>
              <w:rPr>
                <w:rFonts w:ascii="宋体" w:hAnsi="宋体"/>
                <w:szCs w:val="21"/>
              </w:rPr>
            </w:pPr>
            <w:r>
              <w:rPr>
                <w:rFonts w:hint="eastAsia" w:ascii="宋体" w:hAnsi="宋体"/>
                <w:szCs w:val="21"/>
              </w:rPr>
              <w:t>4）投标产品的安全性能：5分。</w:t>
            </w:r>
          </w:p>
          <w:p>
            <w:pPr>
              <w:spacing w:after="0" w:line="240" w:lineRule="auto"/>
              <w:rPr>
                <w:szCs w:val="21"/>
              </w:rPr>
            </w:pPr>
            <w:r>
              <w:rPr>
                <w:szCs w:val="21"/>
              </w:rPr>
              <w:t>根据各投标人提供的</w:t>
            </w:r>
            <w:r>
              <w:rPr>
                <w:rFonts w:hint="eastAsia"/>
                <w:szCs w:val="21"/>
              </w:rPr>
              <w:t>矢量网络分析仪</w:t>
            </w:r>
            <w:r>
              <w:rPr>
                <w:rFonts w:hint="eastAsia" w:ascii="宋体" w:hAnsi="宋体"/>
                <w:szCs w:val="21"/>
              </w:rPr>
              <w:t>安全性能</w:t>
            </w:r>
            <w:r>
              <w:rPr>
                <w:szCs w:val="21"/>
              </w:rPr>
              <w:t>进行相对评价。</w:t>
            </w:r>
          </w:p>
          <w:p>
            <w:pPr>
              <w:wordWrap w:val="0"/>
              <w:spacing w:after="0" w:line="240" w:lineRule="auto"/>
              <w:jc w:val="left"/>
              <w:rPr>
                <w:rFonts w:ascii="宋体" w:hAnsi="宋体"/>
                <w:szCs w:val="21"/>
              </w:rPr>
            </w:pPr>
            <w:r>
              <w:rPr>
                <w:rFonts w:hint="eastAsia" w:ascii="宋体" w:hAnsi="宋体"/>
                <w:szCs w:val="21"/>
              </w:rPr>
              <w:t>4≤最优≤5，3≤较优＜4，2≤一般＜3，0≤差＜2。</w:t>
            </w:r>
          </w:p>
        </w:tc>
        <w:tc>
          <w:tcPr>
            <w:tcW w:w="709" w:type="dxa"/>
            <w:vAlign w:val="center"/>
          </w:tcPr>
          <w:p>
            <w:pPr>
              <w:wordWrap w:val="0"/>
              <w:spacing w:after="0" w:line="240" w:lineRule="auto"/>
              <w:jc w:val="center"/>
              <w:rPr>
                <w:rFonts w:ascii="宋体" w:hAnsi="宋体"/>
                <w:szCs w:val="21"/>
              </w:rPr>
            </w:pPr>
            <w:r>
              <w:rPr>
                <w:rFonts w:hint="eastAsia" w:ascii="宋体" w:hAnsi="宋体"/>
                <w:szCs w:val="21"/>
              </w:rPr>
              <w:t>5</w:t>
            </w:r>
          </w:p>
        </w:tc>
        <w:tc>
          <w:tcPr>
            <w:tcW w:w="708"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Align w:val="center"/>
          </w:tcPr>
          <w:p>
            <w:pPr>
              <w:wordWrap w:val="0"/>
              <w:spacing w:after="0" w:line="400" w:lineRule="exact"/>
              <w:jc w:val="center"/>
              <w:rPr>
                <w:rFonts w:ascii="宋体" w:hAnsi="宋体"/>
                <w:szCs w:val="21"/>
              </w:rPr>
            </w:pPr>
            <w:r>
              <w:rPr>
                <w:rFonts w:hint="eastAsia" w:ascii="宋体" w:hAnsi="宋体"/>
                <w:szCs w:val="21"/>
              </w:rPr>
              <w:t>3</w:t>
            </w:r>
          </w:p>
        </w:tc>
        <w:tc>
          <w:tcPr>
            <w:tcW w:w="1559" w:type="dxa"/>
            <w:vAlign w:val="center"/>
          </w:tcPr>
          <w:p>
            <w:pPr>
              <w:wordWrap w:val="0"/>
              <w:spacing w:after="0" w:line="240" w:lineRule="auto"/>
              <w:jc w:val="left"/>
              <w:rPr>
                <w:rFonts w:ascii="宋体" w:hAnsi="宋体"/>
                <w:szCs w:val="21"/>
              </w:rPr>
            </w:pPr>
            <w:r>
              <w:rPr>
                <w:rFonts w:hint="eastAsia" w:ascii="宋体" w:hAnsi="宋体" w:cs="宋体"/>
                <w:szCs w:val="21"/>
              </w:rPr>
              <w:t>货物运输、安装方案</w:t>
            </w:r>
          </w:p>
        </w:tc>
        <w:tc>
          <w:tcPr>
            <w:tcW w:w="4678" w:type="dxa"/>
          </w:tcPr>
          <w:p>
            <w:pPr>
              <w:spacing w:after="0" w:line="240" w:lineRule="auto"/>
              <w:rPr>
                <w:rFonts w:ascii="宋体" w:hAnsi="宋体" w:cs="宋体"/>
                <w:szCs w:val="21"/>
                <w:lang w:val="zh-CN"/>
              </w:rPr>
            </w:pPr>
            <w:r>
              <w:rPr>
                <w:rFonts w:hint="eastAsia" w:ascii="宋体" w:hAnsi="宋体" w:cs="宋体"/>
                <w:szCs w:val="21"/>
                <w:lang w:val="zh-CN"/>
              </w:rPr>
              <w:t>针对本项目所提供的详细运输、安装、调试、验收方案（要求方案具体、可行、实施性强）进行</w:t>
            </w:r>
            <w:r>
              <w:rPr>
                <w:szCs w:val="21"/>
              </w:rPr>
              <w:t>相对评价。</w:t>
            </w:r>
          </w:p>
          <w:p>
            <w:pPr>
              <w:spacing w:after="0" w:line="240" w:lineRule="auto"/>
              <w:rPr>
                <w:rFonts w:ascii="宋体" w:hAnsi="宋体"/>
                <w:szCs w:val="21"/>
              </w:rPr>
            </w:pPr>
            <w:r>
              <w:rPr>
                <w:rFonts w:hint="eastAsia" w:ascii="宋体" w:hAnsi="宋体"/>
                <w:szCs w:val="21"/>
              </w:rPr>
              <w:t>4≤最优≤5，3≤较优＜4，2≤一般＜3，0≤差＜2。</w:t>
            </w:r>
          </w:p>
        </w:tc>
        <w:tc>
          <w:tcPr>
            <w:tcW w:w="709" w:type="dxa"/>
            <w:vAlign w:val="center"/>
          </w:tcPr>
          <w:p>
            <w:pPr>
              <w:wordWrap w:val="0"/>
              <w:spacing w:after="0" w:line="240" w:lineRule="auto"/>
              <w:jc w:val="center"/>
              <w:rPr>
                <w:rFonts w:ascii="宋体" w:hAnsi="宋体"/>
                <w:szCs w:val="21"/>
              </w:rPr>
            </w:pPr>
            <w:r>
              <w:rPr>
                <w:rFonts w:hint="eastAsia" w:ascii="宋体" w:hAnsi="宋体"/>
                <w:szCs w:val="21"/>
              </w:rPr>
              <w:t>5</w:t>
            </w:r>
          </w:p>
        </w:tc>
        <w:tc>
          <w:tcPr>
            <w:tcW w:w="708"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Align w:val="center"/>
          </w:tcPr>
          <w:p>
            <w:pPr>
              <w:wordWrap w:val="0"/>
              <w:spacing w:after="0" w:line="400" w:lineRule="exact"/>
              <w:jc w:val="center"/>
              <w:rPr>
                <w:rFonts w:ascii="宋体" w:hAnsi="宋体"/>
                <w:szCs w:val="21"/>
              </w:rPr>
            </w:pPr>
            <w:r>
              <w:rPr>
                <w:rFonts w:ascii="宋体" w:hAnsi="宋体"/>
                <w:szCs w:val="21"/>
              </w:rPr>
              <w:t>4</w:t>
            </w:r>
          </w:p>
        </w:tc>
        <w:tc>
          <w:tcPr>
            <w:tcW w:w="1559" w:type="dxa"/>
            <w:vAlign w:val="center"/>
          </w:tcPr>
          <w:p>
            <w:pPr>
              <w:wordWrap w:val="0"/>
              <w:spacing w:after="0" w:line="240" w:lineRule="auto"/>
              <w:ind w:left="-105" w:leftChars="-50" w:right="-105" w:rightChars="-50"/>
              <w:jc w:val="center"/>
              <w:rPr>
                <w:rFonts w:ascii="宋体" w:hAnsi="宋体"/>
                <w:szCs w:val="21"/>
              </w:rPr>
            </w:pPr>
            <w:r>
              <w:rPr>
                <w:rFonts w:hint="eastAsia" w:ascii="宋体" w:hAnsi="宋体"/>
              </w:rPr>
              <w:t>现场产品简介及答疑</w:t>
            </w:r>
          </w:p>
        </w:tc>
        <w:tc>
          <w:tcPr>
            <w:tcW w:w="4678" w:type="dxa"/>
          </w:tcPr>
          <w:p>
            <w:pPr>
              <w:pStyle w:val="7"/>
              <w:wordWrap w:val="0"/>
              <w:spacing w:after="0" w:line="240" w:lineRule="auto"/>
              <w:jc w:val="both"/>
              <w:rPr>
                <w:rFonts w:ascii="宋体" w:hAnsi="宋体"/>
              </w:rPr>
            </w:pPr>
            <w:r>
              <w:rPr>
                <w:rFonts w:hint="eastAsia" w:ascii="宋体" w:hAnsi="宋体"/>
              </w:rPr>
              <w:t>根据现场产品简介及答疑情况进行相对评价。</w:t>
            </w:r>
          </w:p>
          <w:p>
            <w:pPr>
              <w:wordWrap w:val="0"/>
              <w:spacing w:after="0" w:line="240" w:lineRule="auto"/>
              <w:jc w:val="left"/>
              <w:rPr>
                <w:rFonts w:ascii="宋体" w:hAnsi="宋体"/>
                <w:szCs w:val="21"/>
              </w:rPr>
            </w:pPr>
            <w:r>
              <w:rPr>
                <w:rFonts w:ascii="宋体" w:hAnsi="宋体"/>
                <w:szCs w:val="21"/>
              </w:rPr>
              <w:t>2.4</w:t>
            </w:r>
            <w:r>
              <w:rPr>
                <w:rFonts w:hint="eastAsia" w:ascii="宋体" w:hAnsi="宋体"/>
                <w:szCs w:val="21"/>
              </w:rPr>
              <w:t>≤最优≤</w:t>
            </w:r>
            <w:r>
              <w:rPr>
                <w:rFonts w:ascii="宋体" w:hAnsi="宋体"/>
                <w:szCs w:val="21"/>
              </w:rPr>
              <w:t>3</w:t>
            </w:r>
            <w:r>
              <w:rPr>
                <w:rFonts w:hint="eastAsia" w:ascii="宋体" w:hAnsi="宋体"/>
                <w:szCs w:val="21"/>
              </w:rPr>
              <w:t>，</w:t>
            </w:r>
            <w:r>
              <w:rPr>
                <w:rFonts w:ascii="宋体" w:hAnsi="宋体"/>
                <w:szCs w:val="21"/>
              </w:rPr>
              <w:t>1.8</w:t>
            </w:r>
            <w:r>
              <w:rPr>
                <w:rFonts w:hint="eastAsia" w:ascii="宋体" w:hAnsi="宋体"/>
                <w:szCs w:val="21"/>
              </w:rPr>
              <w:t>≤较优＜</w:t>
            </w:r>
            <w:r>
              <w:rPr>
                <w:rFonts w:ascii="宋体" w:hAnsi="宋体"/>
                <w:szCs w:val="21"/>
              </w:rPr>
              <w:t>2.4</w:t>
            </w:r>
            <w:r>
              <w:rPr>
                <w:rFonts w:hint="eastAsia" w:ascii="宋体" w:hAnsi="宋体"/>
                <w:szCs w:val="21"/>
              </w:rPr>
              <w:t>，1</w:t>
            </w:r>
            <w:r>
              <w:rPr>
                <w:rFonts w:ascii="宋体" w:hAnsi="宋体"/>
                <w:szCs w:val="21"/>
              </w:rPr>
              <w:t>.2</w:t>
            </w:r>
            <w:r>
              <w:rPr>
                <w:rFonts w:hint="eastAsia" w:ascii="宋体" w:hAnsi="宋体"/>
                <w:szCs w:val="21"/>
              </w:rPr>
              <w:t>≤一般＜1.8，0≤差＜1</w:t>
            </w:r>
            <w:r>
              <w:rPr>
                <w:rFonts w:ascii="宋体" w:hAnsi="宋体"/>
                <w:szCs w:val="21"/>
              </w:rPr>
              <w:t>.2</w:t>
            </w:r>
            <w:r>
              <w:rPr>
                <w:rFonts w:hint="eastAsia" w:ascii="宋体" w:hAnsi="宋体"/>
                <w:szCs w:val="21"/>
              </w:rPr>
              <w:t>。</w:t>
            </w:r>
          </w:p>
        </w:tc>
        <w:tc>
          <w:tcPr>
            <w:tcW w:w="709" w:type="dxa"/>
            <w:vAlign w:val="center"/>
          </w:tcPr>
          <w:p>
            <w:pPr>
              <w:wordWrap w:val="0"/>
              <w:spacing w:after="0" w:line="240" w:lineRule="auto"/>
              <w:jc w:val="center"/>
              <w:rPr>
                <w:rFonts w:ascii="宋体" w:hAnsi="宋体"/>
                <w:szCs w:val="21"/>
              </w:rPr>
            </w:pPr>
            <w:r>
              <w:rPr>
                <w:rFonts w:ascii="宋体" w:hAnsi="宋体"/>
                <w:szCs w:val="21"/>
              </w:rPr>
              <w:t>3</w:t>
            </w:r>
          </w:p>
        </w:tc>
        <w:tc>
          <w:tcPr>
            <w:tcW w:w="708"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r>
    </w:tbl>
    <w:p>
      <w:pPr>
        <w:wordWrap w:val="0"/>
        <w:spacing w:line="360" w:lineRule="auto"/>
        <w:jc w:val="left"/>
        <w:rPr>
          <w:rFonts w:ascii="宋体" w:hAnsi="宋体"/>
          <w:b/>
          <w:bCs/>
        </w:rPr>
      </w:pPr>
      <w:r>
        <w:rPr>
          <w:rFonts w:hint="eastAsia" w:ascii="宋体" w:hAnsi="宋体"/>
        </w:rPr>
        <w:t>备注：序号2-</w:t>
      </w:r>
      <w:r>
        <w:rPr>
          <w:rFonts w:ascii="宋体" w:hAnsi="宋体"/>
        </w:rPr>
        <w:t>8</w:t>
      </w:r>
      <w:r>
        <w:rPr>
          <w:rFonts w:hint="eastAsia" w:ascii="宋体" w:hAnsi="宋体"/>
          <w:szCs w:val="21"/>
        </w:rPr>
        <w:t>采取两步评价方法：第一步，评标委员会成员独立确定投标人该项评价内容的优劣等级，根据优劣等级对应的分值算术平均后确定该投标人该项评价内容的平均等级；第二步，评标委员会成员根据投标人的平均等级，在对应的分值区间内打分。</w:t>
      </w:r>
    </w:p>
    <w:p>
      <w:pPr>
        <w:rPr>
          <w:rFonts w:ascii="宋体" w:hAnsi="宋体"/>
          <w:szCs w:val="21"/>
        </w:rPr>
      </w:pPr>
      <w:r>
        <w:rPr>
          <w:rFonts w:hint="eastAsia" w:ascii="宋体" w:hAnsi="宋体"/>
          <w:szCs w:val="21"/>
        </w:rPr>
        <w:br w:type="page"/>
      </w:r>
    </w:p>
    <w:p>
      <w:pPr>
        <w:spacing w:line="276" w:lineRule="auto"/>
        <w:ind w:left="420" w:right="105"/>
        <w:rPr>
          <w:rFonts w:ascii="宋体" w:hAnsi="宋体" w:cs="宋体"/>
          <w:szCs w:val="21"/>
        </w:rPr>
      </w:pPr>
      <w:r>
        <w:rPr>
          <w:rFonts w:hint="eastAsia" w:ascii="宋体" w:hAnsi="宋体"/>
          <w:szCs w:val="21"/>
        </w:rPr>
        <w:t>适用</w:t>
      </w:r>
      <w:r>
        <w:rPr>
          <w:rFonts w:ascii="宋体" w:hAnsi="宋体"/>
          <w:szCs w:val="21"/>
        </w:rPr>
        <w:t>品目</w:t>
      </w:r>
      <w:r>
        <w:rPr>
          <w:rFonts w:hint="eastAsia" w:ascii="宋体" w:hAnsi="宋体"/>
          <w:szCs w:val="21"/>
        </w:rPr>
        <w:t>二</w:t>
      </w:r>
    </w:p>
    <w:tbl>
      <w:tblPr>
        <w:tblStyle w:val="25"/>
        <w:tblW w:w="9735" w:type="dxa"/>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469"/>
        <w:gridCol w:w="4768"/>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Align w:val="center"/>
          </w:tcPr>
          <w:p>
            <w:pPr>
              <w:wordWrap w:val="0"/>
              <w:spacing w:after="0" w:line="400" w:lineRule="exact"/>
              <w:jc w:val="center"/>
              <w:rPr>
                <w:rFonts w:ascii="宋体" w:hAnsi="宋体"/>
                <w:szCs w:val="21"/>
              </w:rPr>
            </w:pPr>
            <w:r>
              <w:rPr>
                <w:rFonts w:hint="eastAsia" w:ascii="宋体" w:hAnsi="宋体"/>
                <w:szCs w:val="21"/>
              </w:rPr>
              <w:t>序号</w:t>
            </w:r>
          </w:p>
        </w:tc>
        <w:tc>
          <w:tcPr>
            <w:tcW w:w="1469" w:type="dxa"/>
            <w:vAlign w:val="center"/>
          </w:tcPr>
          <w:p>
            <w:pPr>
              <w:wordWrap w:val="0"/>
              <w:spacing w:after="0" w:line="400" w:lineRule="exact"/>
              <w:ind w:left="-105" w:leftChars="-50" w:right="-105" w:rightChars="-50"/>
              <w:jc w:val="center"/>
              <w:rPr>
                <w:rFonts w:ascii="宋体" w:hAnsi="宋体"/>
                <w:szCs w:val="21"/>
              </w:rPr>
            </w:pPr>
            <w:r>
              <w:rPr>
                <w:rFonts w:hint="eastAsia" w:ascii="宋体" w:hAnsi="宋体"/>
                <w:szCs w:val="21"/>
              </w:rPr>
              <w:t>评审内容</w:t>
            </w:r>
          </w:p>
        </w:tc>
        <w:tc>
          <w:tcPr>
            <w:tcW w:w="4768" w:type="dxa"/>
            <w:vAlign w:val="center"/>
          </w:tcPr>
          <w:p>
            <w:pPr>
              <w:wordWrap w:val="0"/>
              <w:spacing w:after="0" w:line="400" w:lineRule="exact"/>
              <w:jc w:val="center"/>
              <w:rPr>
                <w:rFonts w:ascii="宋体" w:hAnsi="宋体"/>
                <w:szCs w:val="21"/>
              </w:rPr>
            </w:pPr>
            <w:r>
              <w:rPr>
                <w:rFonts w:hint="eastAsia" w:ascii="宋体" w:hAnsi="宋体"/>
                <w:szCs w:val="21"/>
              </w:rPr>
              <w:t>评审标准</w:t>
            </w:r>
          </w:p>
        </w:tc>
        <w:tc>
          <w:tcPr>
            <w:tcW w:w="709" w:type="dxa"/>
            <w:vAlign w:val="center"/>
          </w:tcPr>
          <w:p>
            <w:pPr>
              <w:wordWrap w:val="0"/>
              <w:spacing w:after="0" w:line="400" w:lineRule="exact"/>
              <w:jc w:val="center"/>
              <w:rPr>
                <w:rFonts w:ascii="宋体" w:hAnsi="宋体"/>
                <w:szCs w:val="21"/>
              </w:rPr>
            </w:pPr>
            <w:r>
              <w:rPr>
                <w:rFonts w:hint="eastAsia" w:ascii="宋体" w:hAnsi="宋体"/>
                <w:szCs w:val="21"/>
              </w:rPr>
              <w:t>分值</w:t>
            </w:r>
          </w:p>
        </w:tc>
        <w:tc>
          <w:tcPr>
            <w:tcW w:w="708" w:type="dxa"/>
            <w:vAlign w:val="center"/>
          </w:tcPr>
          <w:p>
            <w:pPr>
              <w:wordWrap w:val="0"/>
              <w:spacing w:after="0" w:line="400" w:lineRule="exact"/>
              <w:jc w:val="center"/>
              <w:rPr>
                <w:rFonts w:ascii="宋体" w:hAnsi="宋体"/>
                <w:szCs w:val="21"/>
              </w:rPr>
            </w:pPr>
            <w:r>
              <w:rPr>
                <w:rFonts w:hint="eastAsia" w:ascii="宋体" w:hAnsi="宋体"/>
                <w:szCs w:val="21"/>
              </w:rPr>
              <w:t>投标人1</w:t>
            </w:r>
          </w:p>
        </w:tc>
        <w:tc>
          <w:tcPr>
            <w:tcW w:w="709" w:type="dxa"/>
            <w:vAlign w:val="center"/>
          </w:tcPr>
          <w:p>
            <w:pPr>
              <w:wordWrap w:val="0"/>
              <w:spacing w:after="0" w:line="400" w:lineRule="exact"/>
              <w:jc w:val="center"/>
              <w:rPr>
                <w:rFonts w:ascii="宋体" w:hAnsi="宋体"/>
                <w:szCs w:val="21"/>
              </w:rPr>
            </w:pPr>
            <w:r>
              <w:rPr>
                <w:rFonts w:hint="eastAsia" w:ascii="宋体" w:hAnsi="宋体"/>
                <w:szCs w:val="21"/>
              </w:rPr>
              <w:t>投标人2</w:t>
            </w:r>
          </w:p>
        </w:tc>
        <w:tc>
          <w:tcPr>
            <w:tcW w:w="709" w:type="dxa"/>
            <w:vAlign w:val="center"/>
          </w:tcPr>
          <w:p>
            <w:pPr>
              <w:wordWrap w:val="0"/>
              <w:spacing w:after="0" w:line="400" w:lineRule="exact"/>
              <w:jc w:val="center"/>
              <w:rPr>
                <w:rFonts w:ascii="宋体" w:hAnsi="宋体"/>
                <w:szCs w:val="21"/>
              </w:rPr>
            </w:pPr>
            <w:r>
              <w:rPr>
                <w:rFonts w:hint="eastAsia" w:ascii="宋体" w:hAnsi="宋体"/>
                <w:szCs w:val="21"/>
              </w:rPr>
              <w:t>投标人</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Align w:val="center"/>
          </w:tcPr>
          <w:p>
            <w:pPr>
              <w:wordWrap w:val="0"/>
              <w:spacing w:after="0" w:line="400" w:lineRule="exact"/>
              <w:jc w:val="center"/>
              <w:rPr>
                <w:rFonts w:ascii="宋体" w:hAnsi="宋体"/>
                <w:szCs w:val="21"/>
              </w:rPr>
            </w:pPr>
            <w:r>
              <w:rPr>
                <w:rFonts w:hint="eastAsia" w:ascii="宋体" w:hAnsi="宋体"/>
                <w:szCs w:val="21"/>
              </w:rPr>
              <w:t>1</w:t>
            </w:r>
          </w:p>
        </w:tc>
        <w:tc>
          <w:tcPr>
            <w:tcW w:w="1469" w:type="dxa"/>
            <w:vAlign w:val="center"/>
          </w:tcPr>
          <w:p>
            <w:pPr>
              <w:wordWrap w:val="0"/>
              <w:spacing w:after="0" w:line="400" w:lineRule="exact"/>
              <w:ind w:left="-105" w:leftChars="-50" w:right="-105" w:rightChars="-50"/>
              <w:jc w:val="center"/>
              <w:rPr>
                <w:rFonts w:ascii="宋体" w:hAnsi="宋体"/>
                <w:szCs w:val="21"/>
              </w:rPr>
            </w:pPr>
            <w:r>
              <w:rPr>
                <w:rFonts w:hint="eastAsia" w:ascii="宋体" w:hAnsi="宋体"/>
                <w:szCs w:val="21"/>
              </w:rPr>
              <w:t>对招标文件的技术响应</w:t>
            </w:r>
          </w:p>
        </w:tc>
        <w:tc>
          <w:tcPr>
            <w:tcW w:w="4768" w:type="dxa"/>
            <w:vAlign w:val="center"/>
          </w:tcPr>
          <w:p>
            <w:pPr>
              <w:pStyle w:val="7"/>
              <w:wordWrap w:val="0"/>
              <w:spacing w:after="0"/>
              <w:jc w:val="both"/>
              <w:rPr>
                <w:rFonts w:ascii="宋体" w:hAnsi="宋体"/>
                <w:szCs w:val="21"/>
              </w:rPr>
            </w:pPr>
            <w:r>
              <w:rPr>
                <w:rFonts w:hint="eastAsia" w:ascii="宋体" w:hAnsi="宋体"/>
                <w:szCs w:val="21"/>
              </w:rPr>
              <w:t>投标人如有带“*”的技术指标的负偏离将导致无效标处理；</w:t>
            </w:r>
            <w:r>
              <w:rPr>
                <w:rFonts w:hint="eastAsia" w:ascii="宋体" w:hAnsi="宋体"/>
                <w:szCs w:val="21"/>
                <w:lang w:val="zh-CN"/>
              </w:rPr>
              <w:t>对于其他</w:t>
            </w:r>
            <w:r>
              <w:rPr>
                <w:rFonts w:ascii="宋体" w:hAnsi="宋体"/>
                <w:szCs w:val="21"/>
              </w:rPr>
              <w:t>非</w:t>
            </w:r>
            <w:r>
              <w:rPr>
                <w:rFonts w:hint="eastAsia" w:ascii="宋体" w:hAnsi="宋体"/>
                <w:szCs w:val="21"/>
              </w:rPr>
              <w:t>“</w:t>
            </w:r>
            <w:r>
              <w:rPr>
                <w:rFonts w:ascii="宋体" w:hAnsi="宋体"/>
                <w:szCs w:val="21"/>
              </w:rPr>
              <w:t>*</w:t>
            </w:r>
            <w:r>
              <w:rPr>
                <w:rFonts w:hint="eastAsia" w:ascii="宋体" w:hAnsi="宋体"/>
                <w:szCs w:val="21"/>
              </w:rPr>
              <w:t>”</w:t>
            </w:r>
            <w:r>
              <w:rPr>
                <w:rFonts w:hint="eastAsia" w:ascii="宋体" w:hAnsi="宋体"/>
                <w:szCs w:val="21"/>
                <w:lang w:val="zh-CN"/>
              </w:rPr>
              <w:t>的技术条款</w:t>
            </w:r>
            <w:r>
              <w:rPr>
                <w:rFonts w:hint="eastAsia" w:ascii="宋体" w:hAnsi="宋体"/>
                <w:szCs w:val="21"/>
              </w:rPr>
              <w:t>，每负偏离一条扣2分，扣完为止。</w:t>
            </w:r>
          </w:p>
        </w:tc>
        <w:tc>
          <w:tcPr>
            <w:tcW w:w="709" w:type="dxa"/>
            <w:vAlign w:val="center"/>
          </w:tcPr>
          <w:p>
            <w:pPr>
              <w:spacing w:after="0" w:line="240" w:lineRule="auto"/>
              <w:jc w:val="center"/>
              <w:rPr>
                <w:szCs w:val="21"/>
              </w:rPr>
            </w:pPr>
            <w:r>
              <w:rPr>
                <w:szCs w:val="21"/>
              </w:rPr>
              <w:t>12</w:t>
            </w:r>
          </w:p>
        </w:tc>
        <w:tc>
          <w:tcPr>
            <w:tcW w:w="708"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Merge w:val="restart"/>
            <w:vAlign w:val="center"/>
          </w:tcPr>
          <w:p>
            <w:pPr>
              <w:wordWrap w:val="0"/>
              <w:spacing w:after="0" w:line="400" w:lineRule="exact"/>
              <w:jc w:val="center"/>
              <w:rPr>
                <w:rFonts w:ascii="宋体" w:hAnsi="宋体"/>
                <w:szCs w:val="21"/>
              </w:rPr>
            </w:pPr>
            <w:r>
              <w:rPr>
                <w:rFonts w:hint="eastAsia" w:ascii="宋体" w:hAnsi="宋体"/>
                <w:szCs w:val="21"/>
              </w:rPr>
              <w:t>2</w:t>
            </w:r>
          </w:p>
        </w:tc>
        <w:tc>
          <w:tcPr>
            <w:tcW w:w="1469" w:type="dxa"/>
            <w:vMerge w:val="restart"/>
            <w:vAlign w:val="center"/>
          </w:tcPr>
          <w:p>
            <w:pPr>
              <w:spacing w:after="0" w:line="240" w:lineRule="auto"/>
              <w:jc w:val="center"/>
              <w:rPr>
                <w:szCs w:val="21"/>
              </w:rPr>
            </w:pPr>
            <w:r>
              <w:rPr>
                <w:rFonts w:hint="eastAsia" w:ascii="宋体" w:hAnsi="宋体"/>
                <w:szCs w:val="21"/>
              </w:rPr>
              <w:t>对投标产品的配置情况与设备的先进性进行综合评议。</w:t>
            </w:r>
          </w:p>
        </w:tc>
        <w:tc>
          <w:tcPr>
            <w:tcW w:w="4768" w:type="dxa"/>
          </w:tcPr>
          <w:p>
            <w:pPr>
              <w:wordWrap w:val="0"/>
              <w:spacing w:after="0" w:line="240" w:lineRule="auto"/>
              <w:jc w:val="left"/>
              <w:rPr>
                <w:rFonts w:ascii="宋体" w:hAnsi="宋体"/>
                <w:szCs w:val="21"/>
              </w:rPr>
            </w:pPr>
            <w:r>
              <w:rPr>
                <w:rFonts w:ascii="宋体" w:hAnsi="宋体"/>
                <w:szCs w:val="21"/>
              </w:rPr>
              <w:t>1</w:t>
            </w:r>
            <w:r>
              <w:rPr>
                <w:rFonts w:hint="eastAsia" w:ascii="宋体" w:hAnsi="宋体"/>
                <w:szCs w:val="21"/>
              </w:rPr>
              <w:t>）投标产品的技术先进性：</w:t>
            </w:r>
            <w:r>
              <w:rPr>
                <w:rFonts w:ascii="宋体" w:hAnsi="宋体"/>
                <w:szCs w:val="21"/>
              </w:rPr>
              <w:t>10</w:t>
            </w:r>
            <w:r>
              <w:rPr>
                <w:rFonts w:hint="eastAsia" w:ascii="宋体" w:hAnsi="宋体"/>
                <w:szCs w:val="21"/>
              </w:rPr>
              <w:t>分；</w:t>
            </w:r>
          </w:p>
          <w:p>
            <w:pPr>
              <w:spacing w:after="0" w:line="240" w:lineRule="auto"/>
              <w:rPr>
                <w:szCs w:val="21"/>
              </w:rPr>
            </w:pPr>
            <w:r>
              <w:rPr>
                <w:szCs w:val="21"/>
              </w:rPr>
              <w:t>根据各投标人提供的</w:t>
            </w:r>
            <w:r>
              <w:rPr>
                <w:rFonts w:hint="eastAsia"/>
                <w:szCs w:val="21"/>
              </w:rPr>
              <w:t>表面轮廓仪</w:t>
            </w:r>
            <w:r>
              <w:rPr>
                <w:rFonts w:hint="eastAsia" w:ascii="宋体" w:hAnsi="宋体"/>
                <w:szCs w:val="21"/>
              </w:rPr>
              <w:t>技术先进性</w:t>
            </w:r>
            <w:r>
              <w:rPr>
                <w:szCs w:val="21"/>
              </w:rPr>
              <w:t>进行相对评价。</w:t>
            </w:r>
          </w:p>
          <w:p>
            <w:pPr>
              <w:spacing w:after="0" w:line="240" w:lineRule="auto"/>
              <w:rPr>
                <w:szCs w:val="21"/>
              </w:rPr>
            </w:pPr>
            <w:r>
              <w:rPr>
                <w:rFonts w:hint="eastAsia" w:ascii="宋体" w:hAnsi="宋体"/>
                <w:szCs w:val="21"/>
              </w:rPr>
              <w:t>8分≤最优≤10分，6分≤较优＜8分，4分≤一般＜6分，0分≤差＜4。</w:t>
            </w:r>
          </w:p>
        </w:tc>
        <w:tc>
          <w:tcPr>
            <w:tcW w:w="709" w:type="dxa"/>
            <w:vAlign w:val="center"/>
          </w:tcPr>
          <w:p>
            <w:pPr>
              <w:spacing w:after="0" w:line="240" w:lineRule="auto"/>
              <w:jc w:val="center"/>
              <w:rPr>
                <w:szCs w:val="21"/>
              </w:rPr>
            </w:pPr>
            <w:r>
              <w:rPr>
                <w:rFonts w:ascii="宋体" w:hAnsi="宋体"/>
                <w:szCs w:val="21"/>
              </w:rPr>
              <w:t>10</w:t>
            </w:r>
          </w:p>
        </w:tc>
        <w:tc>
          <w:tcPr>
            <w:tcW w:w="708"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Merge w:val="continue"/>
            <w:vAlign w:val="center"/>
          </w:tcPr>
          <w:p>
            <w:pPr>
              <w:wordWrap w:val="0"/>
              <w:spacing w:after="0" w:line="400" w:lineRule="exact"/>
              <w:jc w:val="center"/>
              <w:rPr>
                <w:rFonts w:ascii="宋体" w:hAnsi="宋体"/>
                <w:szCs w:val="21"/>
              </w:rPr>
            </w:pPr>
          </w:p>
        </w:tc>
        <w:tc>
          <w:tcPr>
            <w:tcW w:w="1469" w:type="dxa"/>
            <w:vMerge w:val="continue"/>
            <w:vAlign w:val="center"/>
          </w:tcPr>
          <w:p>
            <w:pPr>
              <w:spacing w:after="0" w:line="240" w:lineRule="auto"/>
              <w:jc w:val="center"/>
              <w:rPr>
                <w:szCs w:val="21"/>
              </w:rPr>
            </w:pPr>
          </w:p>
        </w:tc>
        <w:tc>
          <w:tcPr>
            <w:tcW w:w="4768" w:type="dxa"/>
          </w:tcPr>
          <w:p>
            <w:pPr>
              <w:wordWrap w:val="0"/>
              <w:spacing w:after="0" w:line="240" w:lineRule="auto"/>
              <w:jc w:val="left"/>
              <w:rPr>
                <w:rFonts w:ascii="宋体" w:hAnsi="宋体"/>
                <w:szCs w:val="21"/>
              </w:rPr>
            </w:pPr>
            <w:r>
              <w:rPr>
                <w:rFonts w:ascii="宋体" w:hAnsi="宋体"/>
                <w:szCs w:val="21"/>
              </w:rPr>
              <w:t>2</w:t>
            </w:r>
            <w:r>
              <w:rPr>
                <w:rFonts w:hint="eastAsia" w:ascii="宋体" w:hAnsi="宋体"/>
                <w:szCs w:val="21"/>
              </w:rPr>
              <w:t>）投标产品质量和稳定性：5分；</w:t>
            </w:r>
          </w:p>
          <w:p>
            <w:pPr>
              <w:spacing w:after="0" w:line="240" w:lineRule="auto"/>
              <w:rPr>
                <w:szCs w:val="21"/>
              </w:rPr>
            </w:pPr>
            <w:r>
              <w:rPr>
                <w:szCs w:val="21"/>
              </w:rPr>
              <w:t>根据各投标人提供的</w:t>
            </w:r>
            <w:r>
              <w:rPr>
                <w:rFonts w:hint="eastAsia"/>
                <w:szCs w:val="21"/>
              </w:rPr>
              <w:t>表面轮廓仪</w:t>
            </w:r>
            <w:r>
              <w:rPr>
                <w:rFonts w:hint="eastAsia" w:ascii="宋体" w:hAnsi="宋体"/>
                <w:szCs w:val="21"/>
              </w:rPr>
              <w:t>质量和稳定性</w:t>
            </w:r>
            <w:r>
              <w:rPr>
                <w:szCs w:val="21"/>
              </w:rPr>
              <w:t>进行相对评价。</w:t>
            </w:r>
          </w:p>
          <w:p>
            <w:pPr>
              <w:spacing w:after="0" w:line="240" w:lineRule="auto"/>
              <w:rPr>
                <w:szCs w:val="21"/>
              </w:rPr>
            </w:pPr>
            <w:r>
              <w:rPr>
                <w:rFonts w:hint="eastAsia" w:ascii="宋体" w:hAnsi="宋体"/>
                <w:szCs w:val="21"/>
              </w:rPr>
              <w:t>4≤最优≤5，3≤较优＜4，2≤一般＜3，0≤差＜2。</w:t>
            </w:r>
          </w:p>
        </w:tc>
        <w:tc>
          <w:tcPr>
            <w:tcW w:w="709" w:type="dxa"/>
            <w:vAlign w:val="center"/>
          </w:tcPr>
          <w:p>
            <w:pPr>
              <w:spacing w:after="0" w:line="240" w:lineRule="auto"/>
              <w:jc w:val="center"/>
              <w:rPr>
                <w:szCs w:val="21"/>
              </w:rPr>
            </w:pPr>
            <w:r>
              <w:rPr>
                <w:rFonts w:hint="eastAsia" w:ascii="宋体" w:hAnsi="宋体"/>
                <w:szCs w:val="21"/>
              </w:rPr>
              <w:t>5</w:t>
            </w:r>
          </w:p>
        </w:tc>
        <w:tc>
          <w:tcPr>
            <w:tcW w:w="708"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Merge w:val="continue"/>
            <w:vAlign w:val="center"/>
          </w:tcPr>
          <w:p>
            <w:pPr>
              <w:wordWrap w:val="0"/>
              <w:spacing w:after="0" w:line="400" w:lineRule="exact"/>
              <w:jc w:val="center"/>
              <w:rPr>
                <w:rFonts w:ascii="宋体" w:hAnsi="宋体"/>
                <w:szCs w:val="21"/>
              </w:rPr>
            </w:pPr>
          </w:p>
        </w:tc>
        <w:tc>
          <w:tcPr>
            <w:tcW w:w="1469" w:type="dxa"/>
            <w:vMerge w:val="continue"/>
            <w:vAlign w:val="center"/>
          </w:tcPr>
          <w:p>
            <w:pPr>
              <w:spacing w:after="0" w:line="240" w:lineRule="auto"/>
              <w:jc w:val="center"/>
              <w:rPr>
                <w:szCs w:val="21"/>
              </w:rPr>
            </w:pPr>
          </w:p>
        </w:tc>
        <w:tc>
          <w:tcPr>
            <w:tcW w:w="4768" w:type="dxa"/>
          </w:tcPr>
          <w:p>
            <w:pPr>
              <w:wordWrap w:val="0"/>
              <w:spacing w:after="0" w:line="240" w:lineRule="auto"/>
              <w:jc w:val="left"/>
              <w:rPr>
                <w:rFonts w:ascii="宋体" w:hAnsi="宋体"/>
                <w:szCs w:val="21"/>
              </w:rPr>
            </w:pPr>
            <w:r>
              <w:rPr>
                <w:rFonts w:hint="eastAsia" w:ascii="宋体" w:hAnsi="宋体"/>
                <w:szCs w:val="21"/>
              </w:rPr>
              <w:t>3）投标产品的操控适用性：5分；</w:t>
            </w:r>
          </w:p>
          <w:p>
            <w:pPr>
              <w:spacing w:after="0" w:line="240" w:lineRule="auto"/>
              <w:rPr>
                <w:szCs w:val="21"/>
              </w:rPr>
            </w:pPr>
            <w:r>
              <w:rPr>
                <w:szCs w:val="21"/>
              </w:rPr>
              <w:t>根据各投标人提供的</w:t>
            </w:r>
            <w:r>
              <w:rPr>
                <w:rFonts w:hint="eastAsia"/>
                <w:szCs w:val="21"/>
              </w:rPr>
              <w:t>表面轮廓仪</w:t>
            </w:r>
            <w:r>
              <w:rPr>
                <w:rFonts w:hint="eastAsia" w:ascii="宋体" w:hAnsi="宋体"/>
                <w:szCs w:val="21"/>
              </w:rPr>
              <w:t>操控适用性</w:t>
            </w:r>
            <w:r>
              <w:rPr>
                <w:szCs w:val="21"/>
              </w:rPr>
              <w:t>进行相对评价。</w:t>
            </w:r>
          </w:p>
          <w:p>
            <w:pPr>
              <w:spacing w:after="0" w:line="240" w:lineRule="auto"/>
              <w:rPr>
                <w:szCs w:val="21"/>
              </w:rPr>
            </w:pPr>
            <w:r>
              <w:rPr>
                <w:rFonts w:hint="eastAsia" w:ascii="宋体" w:hAnsi="宋体"/>
                <w:szCs w:val="21"/>
              </w:rPr>
              <w:t>4≤最优≤5，3≤较优＜4，2≤一般＜3，0≤差＜2。</w:t>
            </w:r>
          </w:p>
        </w:tc>
        <w:tc>
          <w:tcPr>
            <w:tcW w:w="709" w:type="dxa"/>
            <w:vAlign w:val="center"/>
          </w:tcPr>
          <w:p>
            <w:pPr>
              <w:spacing w:after="0" w:line="240" w:lineRule="auto"/>
              <w:jc w:val="center"/>
              <w:rPr>
                <w:szCs w:val="21"/>
              </w:rPr>
            </w:pPr>
            <w:r>
              <w:rPr>
                <w:rFonts w:hint="eastAsia" w:ascii="宋体" w:hAnsi="宋体"/>
                <w:szCs w:val="21"/>
              </w:rPr>
              <w:t>5</w:t>
            </w:r>
          </w:p>
        </w:tc>
        <w:tc>
          <w:tcPr>
            <w:tcW w:w="708"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Merge w:val="continue"/>
            <w:vAlign w:val="center"/>
          </w:tcPr>
          <w:p>
            <w:pPr>
              <w:wordWrap w:val="0"/>
              <w:spacing w:after="0" w:line="400" w:lineRule="exact"/>
              <w:jc w:val="center"/>
              <w:rPr>
                <w:rFonts w:ascii="宋体" w:hAnsi="宋体"/>
                <w:szCs w:val="21"/>
              </w:rPr>
            </w:pPr>
          </w:p>
        </w:tc>
        <w:tc>
          <w:tcPr>
            <w:tcW w:w="1469" w:type="dxa"/>
            <w:vMerge w:val="continue"/>
            <w:vAlign w:val="center"/>
          </w:tcPr>
          <w:p>
            <w:pPr>
              <w:spacing w:after="0" w:line="240" w:lineRule="auto"/>
              <w:jc w:val="center"/>
              <w:rPr>
                <w:szCs w:val="21"/>
              </w:rPr>
            </w:pPr>
          </w:p>
        </w:tc>
        <w:tc>
          <w:tcPr>
            <w:tcW w:w="4768" w:type="dxa"/>
          </w:tcPr>
          <w:p>
            <w:pPr>
              <w:spacing w:after="0" w:line="240" w:lineRule="auto"/>
              <w:rPr>
                <w:rFonts w:ascii="宋体" w:hAnsi="宋体"/>
                <w:szCs w:val="21"/>
              </w:rPr>
            </w:pPr>
            <w:r>
              <w:rPr>
                <w:rFonts w:hint="eastAsia" w:ascii="宋体" w:hAnsi="宋体"/>
                <w:szCs w:val="21"/>
              </w:rPr>
              <w:t>4）投标产品的安全性能：5分。</w:t>
            </w:r>
          </w:p>
          <w:p>
            <w:pPr>
              <w:spacing w:after="0" w:line="240" w:lineRule="auto"/>
              <w:rPr>
                <w:szCs w:val="21"/>
              </w:rPr>
            </w:pPr>
            <w:r>
              <w:rPr>
                <w:szCs w:val="21"/>
              </w:rPr>
              <w:t>根据各投标人提供的</w:t>
            </w:r>
            <w:r>
              <w:rPr>
                <w:rFonts w:hint="eastAsia"/>
                <w:szCs w:val="21"/>
              </w:rPr>
              <w:t>表面轮廓仪</w:t>
            </w:r>
            <w:r>
              <w:rPr>
                <w:rFonts w:hint="eastAsia" w:ascii="宋体" w:hAnsi="宋体"/>
                <w:szCs w:val="21"/>
              </w:rPr>
              <w:t>安全性能</w:t>
            </w:r>
            <w:r>
              <w:rPr>
                <w:szCs w:val="21"/>
              </w:rPr>
              <w:t>进行相对评价。</w:t>
            </w:r>
          </w:p>
          <w:p>
            <w:pPr>
              <w:spacing w:after="0" w:line="240" w:lineRule="auto"/>
              <w:rPr>
                <w:szCs w:val="21"/>
              </w:rPr>
            </w:pPr>
            <w:r>
              <w:rPr>
                <w:rFonts w:hint="eastAsia" w:ascii="宋体" w:hAnsi="宋体"/>
                <w:szCs w:val="21"/>
              </w:rPr>
              <w:t>4≤最优≤5，3≤较优＜4，2≤一般＜3，0≤差＜2。</w:t>
            </w:r>
          </w:p>
        </w:tc>
        <w:tc>
          <w:tcPr>
            <w:tcW w:w="709" w:type="dxa"/>
            <w:vAlign w:val="center"/>
          </w:tcPr>
          <w:p>
            <w:pPr>
              <w:spacing w:after="0" w:line="240" w:lineRule="auto"/>
              <w:jc w:val="center"/>
              <w:rPr>
                <w:szCs w:val="21"/>
              </w:rPr>
            </w:pPr>
            <w:r>
              <w:rPr>
                <w:rFonts w:hint="eastAsia" w:ascii="宋体" w:hAnsi="宋体"/>
                <w:szCs w:val="21"/>
              </w:rPr>
              <w:t>5</w:t>
            </w:r>
          </w:p>
        </w:tc>
        <w:tc>
          <w:tcPr>
            <w:tcW w:w="708"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Align w:val="center"/>
          </w:tcPr>
          <w:p>
            <w:pPr>
              <w:wordWrap w:val="0"/>
              <w:spacing w:after="0" w:line="400" w:lineRule="exact"/>
              <w:jc w:val="center"/>
              <w:rPr>
                <w:rFonts w:ascii="宋体" w:hAnsi="宋体"/>
                <w:szCs w:val="21"/>
              </w:rPr>
            </w:pPr>
            <w:r>
              <w:rPr>
                <w:rFonts w:hint="eastAsia" w:ascii="宋体" w:hAnsi="宋体"/>
                <w:szCs w:val="21"/>
              </w:rPr>
              <w:t>3</w:t>
            </w:r>
          </w:p>
        </w:tc>
        <w:tc>
          <w:tcPr>
            <w:tcW w:w="1469" w:type="dxa"/>
            <w:vAlign w:val="center"/>
          </w:tcPr>
          <w:p>
            <w:pPr>
              <w:spacing w:after="0" w:line="240" w:lineRule="auto"/>
              <w:jc w:val="center"/>
              <w:rPr>
                <w:rFonts w:ascii="宋体" w:hAnsi="宋体" w:cs="Helvetica-Bold"/>
                <w:bCs/>
                <w:szCs w:val="21"/>
                <w:lang w:eastAsia="zh-Hans"/>
              </w:rPr>
            </w:pPr>
            <w:r>
              <w:rPr>
                <w:rFonts w:hint="eastAsia" w:ascii="宋体" w:hAnsi="宋体" w:cs="宋体"/>
                <w:szCs w:val="21"/>
              </w:rPr>
              <w:t>货物运输、安装方案</w:t>
            </w:r>
          </w:p>
        </w:tc>
        <w:tc>
          <w:tcPr>
            <w:tcW w:w="4768" w:type="dxa"/>
          </w:tcPr>
          <w:p>
            <w:pPr>
              <w:spacing w:after="0" w:line="240" w:lineRule="auto"/>
              <w:rPr>
                <w:rFonts w:ascii="宋体" w:hAnsi="宋体" w:cs="宋体"/>
                <w:szCs w:val="21"/>
                <w:lang w:val="zh-CN"/>
              </w:rPr>
            </w:pPr>
            <w:r>
              <w:rPr>
                <w:rFonts w:hint="eastAsia" w:ascii="宋体" w:hAnsi="宋体" w:cs="宋体"/>
                <w:szCs w:val="21"/>
                <w:lang w:val="zh-CN"/>
              </w:rPr>
              <w:t>针对本项目所提供的详细运输、安装、调试、验收方案（要求方案具体、可行、实施性强）进行</w:t>
            </w:r>
            <w:r>
              <w:rPr>
                <w:szCs w:val="21"/>
              </w:rPr>
              <w:t>相对评价。</w:t>
            </w:r>
          </w:p>
          <w:p>
            <w:pPr>
              <w:spacing w:after="0" w:line="240" w:lineRule="auto"/>
              <w:rPr>
                <w:szCs w:val="21"/>
              </w:rPr>
            </w:pPr>
            <w:r>
              <w:rPr>
                <w:rFonts w:hint="eastAsia" w:ascii="宋体" w:hAnsi="宋体"/>
                <w:szCs w:val="21"/>
              </w:rPr>
              <w:t>4≤最优≤5，3≤较优＜4，2≤一般＜3，0≤差＜2。</w:t>
            </w:r>
          </w:p>
        </w:tc>
        <w:tc>
          <w:tcPr>
            <w:tcW w:w="709" w:type="dxa"/>
            <w:vAlign w:val="center"/>
          </w:tcPr>
          <w:p>
            <w:pPr>
              <w:spacing w:after="0" w:line="240" w:lineRule="auto"/>
              <w:jc w:val="center"/>
              <w:rPr>
                <w:szCs w:val="21"/>
              </w:rPr>
            </w:pPr>
            <w:r>
              <w:rPr>
                <w:rFonts w:hint="eastAsia" w:ascii="宋体" w:hAnsi="宋体"/>
                <w:szCs w:val="21"/>
              </w:rPr>
              <w:t>5</w:t>
            </w:r>
          </w:p>
        </w:tc>
        <w:tc>
          <w:tcPr>
            <w:tcW w:w="708"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3" w:type="dxa"/>
            <w:vAlign w:val="center"/>
          </w:tcPr>
          <w:p>
            <w:pPr>
              <w:wordWrap w:val="0"/>
              <w:spacing w:after="0" w:line="400" w:lineRule="exact"/>
              <w:jc w:val="center"/>
              <w:rPr>
                <w:rFonts w:ascii="宋体" w:hAnsi="宋体"/>
                <w:szCs w:val="21"/>
              </w:rPr>
            </w:pPr>
            <w:r>
              <w:rPr>
                <w:rFonts w:ascii="宋体" w:hAnsi="宋体"/>
                <w:szCs w:val="21"/>
              </w:rPr>
              <w:t>4</w:t>
            </w:r>
          </w:p>
        </w:tc>
        <w:tc>
          <w:tcPr>
            <w:tcW w:w="1469" w:type="dxa"/>
            <w:vAlign w:val="center"/>
          </w:tcPr>
          <w:p>
            <w:pPr>
              <w:wordWrap w:val="0"/>
              <w:spacing w:after="0"/>
              <w:ind w:left="-105" w:leftChars="-50" w:right="-105" w:rightChars="-50"/>
              <w:jc w:val="center"/>
              <w:rPr>
                <w:rFonts w:ascii="宋体" w:hAnsi="宋体"/>
                <w:szCs w:val="21"/>
              </w:rPr>
            </w:pPr>
            <w:r>
              <w:rPr>
                <w:rFonts w:hint="eastAsia" w:ascii="宋体" w:hAnsi="宋体"/>
              </w:rPr>
              <w:t>现场产品简介及答疑</w:t>
            </w:r>
          </w:p>
        </w:tc>
        <w:tc>
          <w:tcPr>
            <w:tcW w:w="4768" w:type="dxa"/>
          </w:tcPr>
          <w:p>
            <w:pPr>
              <w:pStyle w:val="7"/>
              <w:wordWrap w:val="0"/>
              <w:spacing w:after="0"/>
              <w:jc w:val="both"/>
              <w:rPr>
                <w:rFonts w:ascii="宋体" w:hAnsi="宋体"/>
              </w:rPr>
            </w:pPr>
            <w:r>
              <w:rPr>
                <w:rFonts w:hint="eastAsia" w:ascii="宋体" w:hAnsi="宋体"/>
              </w:rPr>
              <w:t>根据现场产品简介及答疑情况进行相对评价。</w:t>
            </w:r>
          </w:p>
          <w:p>
            <w:pPr>
              <w:wordWrap w:val="0"/>
              <w:spacing w:after="0" w:line="300" w:lineRule="auto"/>
              <w:jc w:val="left"/>
              <w:rPr>
                <w:rFonts w:ascii="宋体" w:hAnsi="宋体"/>
                <w:szCs w:val="21"/>
              </w:rPr>
            </w:pPr>
            <w:r>
              <w:rPr>
                <w:rFonts w:ascii="宋体" w:hAnsi="宋体"/>
                <w:szCs w:val="21"/>
              </w:rPr>
              <w:t>2.4</w:t>
            </w:r>
            <w:r>
              <w:rPr>
                <w:rFonts w:hint="eastAsia" w:ascii="宋体" w:hAnsi="宋体"/>
                <w:szCs w:val="21"/>
              </w:rPr>
              <w:t>≤最优≤</w:t>
            </w:r>
            <w:r>
              <w:rPr>
                <w:rFonts w:ascii="宋体" w:hAnsi="宋体"/>
                <w:szCs w:val="21"/>
              </w:rPr>
              <w:t>3</w:t>
            </w:r>
            <w:r>
              <w:rPr>
                <w:rFonts w:hint="eastAsia" w:ascii="宋体" w:hAnsi="宋体"/>
                <w:szCs w:val="21"/>
              </w:rPr>
              <w:t>，</w:t>
            </w:r>
            <w:r>
              <w:rPr>
                <w:rFonts w:ascii="宋体" w:hAnsi="宋体"/>
                <w:szCs w:val="21"/>
              </w:rPr>
              <w:t>1.8</w:t>
            </w:r>
            <w:r>
              <w:rPr>
                <w:rFonts w:hint="eastAsia" w:ascii="宋体" w:hAnsi="宋体"/>
                <w:szCs w:val="21"/>
              </w:rPr>
              <w:t>≤较优＜</w:t>
            </w:r>
            <w:r>
              <w:rPr>
                <w:rFonts w:ascii="宋体" w:hAnsi="宋体"/>
                <w:szCs w:val="21"/>
              </w:rPr>
              <w:t>2.4</w:t>
            </w:r>
            <w:r>
              <w:rPr>
                <w:rFonts w:hint="eastAsia" w:ascii="宋体" w:hAnsi="宋体"/>
                <w:szCs w:val="21"/>
              </w:rPr>
              <w:t>，1</w:t>
            </w:r>
            <w:r>
              <w:rPr>
                <w:rFonts w:ascii="宋体" w:hAnsi="宋体"/>
                <w:szCs w:val="21"/>
              </w:rPr>
              <w:t>.2</w:t>
            </w:r>
            <w:r>
              <w:rPr>
                <w:rFonts w:hint="eastAsia" w:ascii="宋体" w:hAnsi="宋体"/>
                <w:szCs w:val="21"/>
              </w:rPr>
              <w:t>≤一般＜1.8，0≤差＜1</w:t>
            </w:r>
            <w:r>
              <w:rPr>
                <w:rFonts w:ascii="宋体" w:hAnsi="宋体"/>
                <w:szCs w:val="21"/>
              </w:rPr>
              <w:t>.2</w:t>
            </w:r>
            <w:r>
              <w:rPr>
                <w:rFonts w:hint="eastAsia" w:ascii="宋体" w:hAnsi="宋体"/>
                <w:szCs w:val="21"/>
              </w:rPr>
              <w:t>。</w:t>
            </w:r>
          </w:p>
        </w:tc>
        <w:tc>
          <w:tcPr>
            <w:tcW w:w="709" w:type="dxa"/>
            <w:vAlign w:val="center"/>
          </w:tcPr>
          <w:p>
            <w:pPr>
              <w:spacing w:after="0" w:line="240" w:lineRule="auto"/>
              <w:jc w:val="center"/>
              <w:rPr>
                <w:szCs w:val="21"/>
              </w:rPr>
            </w:pPr>
            <w:r>
              <w:rPr>
                <w:szCs w:val="21"/>
              </w:rPr>
              <w:t>3</w:t>
            </w:r>
          </w:p>
        </w:tc>
        <w:tc>
          <w:tcPr>
            <w:tcW w:w="708"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c>
          <w:tcPr>
            <w:tcW w:w="709" w:type="dxa"/>
            <w:vAlign w:val="center"/>
          </w:tcPr>
          <w:p>
            <w:pPr>
              <w:wordWrap w:val="0"/>
              <w:spacing w:after="0" w:line="400" w:lineRule="exact"/>
              <w:jc w:val="center"/>
              <w:rPr>
                <w:rFonts w:ascii="宋体" w:hAnsi="宋体"/>
                <w:szCs w:val="21"/>
              </w:rPr>
            </w:pPr>
          </w:p>
        </w:tc>
      </w:tr>
    </w:tbl>
    <w:p>
      <w:pPr>
        <w:wordWrap w:val="0"/>
        <w:spacing w:line="360" w:lineRule="auto"/>
        <w:jc w:val="left"/>
        <w:rPr>
          <w:rFonts w:ascii="宋体" w:hAnsi="宋体"/>
          <w:b/>
          <w:bCs/>
        </w:rPr>
      </w:pPr>
      <w:r>
        <w:rPr>
          <w:rFonts w:hint="eastAsia" w:ascii="宋体" w:hAnsi="宋体"/>
        </w:rPr>
        <w:t>备注：序号2-</w:t>
      </w:r>
      <w:r>
        <w:rPr>
          <w:rFonts w:ascii="宋体" w:hAnsi="宋体"/>
        </w:rPr>
        <w:t>5</w:t>
      </w:r>
      <w:r>
        <w:rPr>
          <w:rFonts w:hint="eastAsia" w:ascii="宋体" w:hAnsi="宋体"/>
          <w:szCs w:val="21"/>
        </w:rPr>
        <w:t>采取两步评价方法：第一步，评标委员会成员独立确定投标人该项评价内容的优劣等级，根据优劣等级对应的分值算术平均后确定该投标人该项评价内容的平均等级；第二步，评标委员会成员根据投标人的平均等级，在对应的分值区间内打分。</w:t>
      </w:r>
    </w:p>
    <w:p>
      <w:pPr>
        <w:rPr>
          <w:rFonts w:ascii="宋体" w:hAnsi="宋体"/>
          <w:szCs w:val="21"/>
        </w:rPr>
      </w:pPr>
      <w:r>
        <w:rPr>
          <w:rFonts w:hint="eastAsia" w:ascii="宋体" w:hAnsi="宋体"/>
          <w:szCs w:val="21"/>
        </w:rPr>
        <w:br w:type="page"/>
      </w:r>
    </w:p>
    <w:p>
      <w:pPr>
        <w:wordWrap w:val="0"/>
        <w:spacing w:line="276" w:lineRule="auto"/>
        <w:rPr>
          <w:rFonts w:ascii="宋体" w:hAnsi="宋体"/>
          <w:szCs w:val="21"/>
        </w:rPr>
      </w:pPr>
      <w:r>
        <w:rPr>
          <w:rFonts w:hint="eastAsia" w:ascii="宋体" w:hAnsi="宋体"/>
          <w:szCs w:val="21"/>
        </w:rPr>
        <w:t>2.3、服务及其他评分表（满分10分）</w:t>
      </w:r>
    </w:p>
    <w:p>
      <w:pPr>
        <w:wordWrap w:val="0"/>
        <w:spacing w:line="276" w:lineRule="auto"/>
        <w:ind w:left="420" w:right="105"/>
        <w:jc w:val="right"/>
        <w:rPr>
          <w:rFonts w:ascii="宋体" w:hAnsi="宋体"/>
          <w:szCs w:val="21"/>
        </w:rPr>
      </w:pPr>
      <w:r>
        <w:rPr>
          <w:rFonts w:hint="eastAsia" w:ascii="宋体" w:hAnsi="宋体"/>
          <w:szCs w:val="21"/>
        </w:rPr>
        <w:t>适用</w:t>
      </w:r>
      <w:r>
        <w:rPr>
          <w:rFonts w:ascii="宋体" w:hAnsi="宋体"/>
          <w:szCs w:val="21"/>
        </w:rPr>
        <w:t>品目一、二</w:t>
      </w:r>
    </w:p>
    <w:tbl>
      <w:tblPr>
        <w:tblStyle w:val="25"/>
        <w:tblW w:w="9735" w:type="dxa"/>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232"/>
        <w:gridCol w:w="4790"/>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878" w:type="dxa"/>
            <w:vAlign w:val="center"/>
          </w:tcPr>
          <w:p>
            <w:pPr>
              <w:wordWrap w:val="0"/>
              <w:spacing w:line="400" w:lineRule="exact"/>
              <w:jc w:val="center"/>
              <w:rPr>
                <w:rFonts w:ascii="宋体" w:hAnsi="宋体"/>
                <w:szCs w:val="21"/>
              </w:rPr>
            </w:pPr>
            <w:r>
              <w:rPr>
                <w:rFonts w:hint="eastAsia" w:ascii="宋体" w:hAnsi="宋体"/>
                <w:szCs w:val="21"/>
              </w:rPr>
              <w:t>序号</w:t>
            </w:r>
          </w:p>
        </w:tc>
        <w:tc>
          <w:tcPr>
            <w:tcW w:w="1232" w:type="dxa"/>
            <w:vAlign w:val="center"/>
          </w:tcPr>
          <w:p>
            <w:pPr>
              <w:wordWrap w:val="0"/>
              <w:spacing w:line="400" w:lineRule="exact"/>
              <w:jc w:val="center"/>
              <w:rPr>
                <w:rFonts w:ascii="宋体" w:hAnsi="宋体"/>
                <w:szCs w:val="21"/>
              </w:rPr>
            </w:pPr>
            <w:r>
              <w:rPr>
                <w:rFonts w:hint="eastAsia" w:ascii="宋体" w:hAnsi="宋体"/>
                <w:szCs w:val="21"/>
              </w:rPr>
              <w:t>评审内容</w:t>
            </w:r>
          </w:p>
        </w:tc>
        <w:tc>
          <w:tcPr>
            <w:tcW w:w="4790" w:type="dxa"/>
            <w:vAlign w:val="center"/>
          </w:tcPr>
          <w:p>
            <w:pPr>
              <w:wordWrap w:val="0"/>
              <w:spacing w:line="400" w:lineRule="exact"/>
              <w:jc w:val="center"/>
              <w:rPr>
                <w:rFonts w:ascii="宋体" w:hAnsi="宋体"/>
                <w:szCs w:val="21"/>
              </w:rPr>
            </w:pPr>
            <w:r>
              <w:rPr>
                <w:rFonts w:hint="eastAsia" w:ascii="宋体" w:hAnsi="宋体"/>
                <w:szCs w:val="21"/>
              </w:rPr>
              <w:t>评审标准</w:t>
            </w:r>
          </w:p>
        </w:tc>
        <w:tc>
          <w:tcPr>
            <w:tcW w:w="709" w:type="dxa"/>
            <w:vAlign w:val="center"/>
          </w:tcPr>
          <w:p>
            <w:pPr>
              <w:wordWrap w:val="0"/>
              <w:spacing w:line="400" w:lineRule="exact"/>
              <w:jc w:val="center"/>
              <w:rPr>
                <w:rFonts w:ascii="宋体" w:hAnsi="宋体"/>
                <w:szCs w:val="21"/>
              </w:rPr>
            </w:pPr>
            <w:r>
              <w:rPr>
                <w:rFonts w:hint="eastAsia" w:ascii="宋体" w:hAnsi="宋体"/>
                <w:szCs w:val="21"/>
              </w:rPr>
              <w:t>分值</w:t>
            </w:r>
          </w:p>
        </w:tc>
        <w:tc>
          <w:tcPr>
            <w:tcW w:w="708" w:type="dxa"/>
            <w:vAlign w:val="center"/>
          </w:tcPr>
          <w:p>
            <w:pPr>
              <w:wordWrap w:val="0"/>
              <w:spacing w:line="400" w:lineRule="exact"/>
              <w:jc w:val="center"/>
              <w:rPr>
                <w:rFonts w:ascii="宋体" w:hAnsi="宋体"/>
                <w:szCs w:val="21"/>
              </w:rPr>
            </w:pPr>
            <w:r>
              <w:rPr>
                <w:rFonts w:hint="eastAsia" w:ascii="宋体" w:hAnsi="宋体"/>
                <w:szCs w:val="21"/>
              </w:rPr>
              <w:t>投标人1</w:t>
            </w:r>
          </w:p>
        </w:tc>
        <w:tc>
          <w:tcPr>
            <w:tcW w:w="709" w:type="dxa"/>
            <w:vAlign w:val="center"/>
          </w:tcPr>
          <w:p>
            <w:pPr>
              <w:wordWrap w:val="0"/>
              <w:spacing w:line="400" w:lineRule="exact"/>
              <w:jc w:val="center"/>
              <w:rPr>
                <w:rFonts w:ascii="宋体" w:hAnsi="宋体"/>
                <w:szCs w:val="21"/>
              </w:rPr>
            </w:pPr>
            <w:r>
              <w:rPr>
                <w:rFonts w:hint="eastAsia" w:ascii="宋体" w:hAnsi="宋体"/>
                <w:szCs w:val="21"/>
              </w:rPr>
              <w:t>投标人2</w:t>
            </w:r>
          </w:p>
        </w:tc>
        <w:tc>
          <w:tcPr>
            <w:tcW w:w="709" w:type="dxa"/>
            <w:vAlign w:val="center"/>
          </w:tcPr>
          <w:p>
            <w:pPr>
              <w:wordWrap w:val="0"/>
              <w:spacing w:line="400" w:lineRule="exact"/>
              <w:jc w:val="center"/>
              <w:rPr>
                <w:rFonts w:ascii="宋体" w:hAnsi="宋体"/>
                <w:szCs w:val="21"/>
              </w:rPr>
            </w:pPr>
            <w:r>
              <w:rPr>
                <w:rFonts w:hint="eastAsia" w:ascii="宋体" w:hAnsi="宋体"/>
                <w:szCs w:val="21"/>
              </w:rPr>
              <w:t>投标人</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878" w:type="dxa"/>
            <w:vAlign w:val="center"/>
          </w:tcPr>
          <w:p>
            <w:pPr>
              <w:wordWrap w:val="0"/>
              <w:spacing w:line="400" w:lineRule="exact"/>
              <w:jc w:val="center"/>
              <w:rPr>
                <w:rFonts w:ascii="宋体" w:hAnsi="宋体"/>
                <w:szCs w:val="21"/>
              </w:rPr>
            </w:pPr>
            <w:r>
              <w:rPr>
                <w:rFonts w:hint="eastAsia" w:ascii="宋体" w:hAnsi="宋体"/>
                <w:szCs w:val="21"/>
              </w:rPr>
              <w:t>1</w:t>
            </w:r>
          </w:p>
        </w:tc>
        <w:tc>
          <w:tcPr>
            <w:tcW w:w="1232" w:type="dxa"/>
            <w:vAlign w:val="center"/>
          </w:tcPr>
          <w:p>
            <w:pPr>
              <w:wordWrap w:val="0"/>
              <w:spacing w:line="400" w:lineRule="exact"/>
              <w:jc w:val="center"/>
              <w:rPr>
                <w:rFonts w:ascii="宋体" w:hAnsi="宋体"/>
                <w:szCs w:val="21"/>
              </w:rPr>
            </w:pPr>
            <w:r>
              <w:rPr>
                <w:rFonts w:hint="eastAsia" w:ascii="宋体" w:hAnsi="宋体"/>
                <w:szCs w:val="21"/>
              </w:rPr>
              <w:t>售后服务</w:t>
            </w:r>
          </w:p>
        </w:tc>
        <w:tc>
          <w:tcPr>
            <w:tcW w:w="4790" w:type="dxa"/>
          </w:tcPr>
          <w:p>
            <w:pPr>
              <w:wordWrap w:val="0"/>
              <w:spacing w:after="0" w:line="400" w:lineRule="exact"/>
              <w:jc w:val="left"/>
              <w:rPr>
                <w:rFonts w:ascii="宋体" w:hAnsi="宋体"/>
                <w:szCs w:val="21"/>
              </w:rPr>
            </w:pPr>
            <w:r>
              <w:rPr>
                <w:rFonts w:hint="eastAsia" w:ascii="宋体" w:hAnsi="宋体"/>
                <w:szCs w:val="21"/>
              </w:rPr>
              <w:t>根据各投标人的售后服务（承诺）和质保期方案及进行比较评议，包括详细的售后服务方案、质保期、并明确质保期后的维修费用、响应时间、维修时间、售后服务优惠承诺、配件及耗材优惠、售后服务保障及售后服务机构的综合实力等及其他优惠条件。</w:t>
            </w:r>
          </w:p>
          <w:p>
            <w:pPr>
              <w:wordWrap w:val="0"/>
              <w:spacing w:after="0" w:line="400" w:lineRule="exact"/>
              <w:jc w:val="left"/>
              <w:rPr>
                <w:rFonts w:ascii="宋体" w:hAnsi="宋体"/>
                <w:szCs w:val="21"/>
              </w:rPr>
            </w:pPr>
            <w:r>
              <w:rPr>
                <w:rFonts w:hint="eastAsia" w:ascii="宋体" w:hAnsi="宋体"/>
                <w:szCs w:val="21"/>
              </w:rPr>
              <w:t>4≤最优≤5，3≤较优＜4，2≤一般＜3，0≤差＜2。</w:t>
            </w:r>
          </w:p>
        </w:tc>
        <w:tc>
          <w:tcPr>
            <w:tcW w:w="709" w:type="dxa"/>
            <w:vAlign w:val="center"/>
          </w:tcPr>
          <w:p>
            <w:pPr>
              <w:wordWrap w:val="0"/>
              <w:spacing w:line="400" w:lineRule="exact"/>
              <w:jc w:val="center"/>
              <w:rPr>
                <w:rFonts w:ascii="宋体" w:hAnsi="宋体"/>
                <w:szCs w:val="21"/>
              </w:rPr>
            </w:pPr>
            <w:r>
              <w:rPr>
                <w:rFonts w:hint="eastAsia" w:ascii="宋体" w:hAnsi="宋体"/>
                <w:szCs w:val="21"/>
              </w:rPr>
              <w:t>5</w:t>
            </w:r>
          </w:p>
        </w:tc>
        <w:tc>
          <w:tcPr>
            <w:tcW w:w="708" w:type="dxa"/>
            <w:vAlign w:val="center"/>
          </w:tcPr>
          <w:p>
            <w:pPr>
              <w:wordWrap w:val="0"/>
              <w:spacing w:line="400" w:lineRule="exact"/>
              <w:jc w:val="center"/>
              <w:rPr>
                <w:rFonts w:ascii="宋体" w:hAnsi="宋体"/>
                <w:szCs w:val="21"/>
              </w:rPr>
            </w:pPr>
          </w:p>
        </w:tc>
        <w:tc>
          <w:tcPr>
            <w:tcW w:w="709" w:type="dxa"/>
            <w:vAlign w:val="center"/>
          </w:tcPr>
          <w:p>
            <w:pPr>
              <w:wordWrap w:val="0"/>
              <w:spacing w:line="400" w:lineRule="exact"/>
              <w:jc w:val="center"/>
              <w:rPr>
                <w:rFonts w:ascii="宋体" w:hAnsi="宋体"/>
                <w:szCs w:val="21"/>
              </w:rPr>
            </w:pPr>
          </w:p>
        </w:tc>
        <w:tc>
          <w:tcPr>
            <w:tcW w:w="709" w:type="dxa"/>
            <w:vAlign w:val="center"/>
          </w:tcPr>
          <w:p>
            <w:pPr>
              <w:wordWrap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878" w:type="dxa"/>
            <w:vAlign w:val="center"/>
          </w:tcPr>
          <w:p>
            <w:pPr>
              <w:wordWrap w:val="0"/>
              <w:spacing w:line="400" w:lineRule="exact"/>
              <w:jc w:val="center"/>
              <w:rPr>
                <w:rFonts w:ascii="宋体" w:hAnsi="宋体"/>
                <w:szCs w:val="21"/>
              </w:rPr>
            </w:pPr>
            <w:r>
              <w:rPr>
                <w:rFonts w:hint="eastAsia" w:ascii="宋体" w:hAnsi="宋体"/>
                <w:szCs w:val="21"/>
              </w:rPr>
              <w:t>2</w:t>
            </w:r>
          </w:p>
        </w:tc>
        <w:tc>
          <w:tcPr>
            <w:tcW w:w="1232" w:type="dxa"/>
            <w:vAlign w:val="center"/>
          </w:tcPr>
          <w:p>
            <w:pPr>
              <w:wordWrap w:val="0"/>
              <w:spacing w:line="400" w:lineRule="exact"/>
              <w:jc w:val="center"/>
              <w:rPr>
                <w:rFonts w:ascii="宋体" w:hAnsi="宋体"/>
                <w:szCs w:val="21"/>
              </w:rPr>
            </w:pPr>
            <w:r>
              <w:rPr>
                <w:rFonts w:hint="eastAsia" w:ascii="宋体" w:hAnsi="宋体"/>
                <w:szCs w:val="21"/>
              </w:rPr>
              <w:t>技术服务及培训方案</w:t>
            </w:r>
          </w:p>
        </w:tc>
        <w:tc>
          <w:tcPr>
            <w:tcW w:w="4790" w:type="dxa"/>
          </w:tcPr>
          <w:p>
            <w:pPr>
              <w:wordWrap w:val="0"/>
              <w:spacing w:after="0" w:line="400" w:lineRule="exact"/>
              <w:jc w:val="left"/>
              <w:rPr>
                <w:rFonts w:ascii="宋体" w:hAnsi="宋体"/>
                <w:szCs w:val="21"/>
              </w:rPr>
            </w:pPr>
            <w:r>
              <w:rPr>
                <w:rFonts w:hint="eastAsia" w:ascii="宋体" w:hAnsi="宋体"/>
                <w:szCs w:val="21"/>
              </w:rPr>
              <w:t>提供详细的操作培训和维修培训计划，提供免费的操作培训及维修培训，由评委根据各投标人的培训方案进行比较评议。</w:t>
            </w:r>
          </w:p>
          <w:p>
            <w:pPr>
              <w:wordWrap w:val="0"/>
              <w:spacing w:after="0" w:line="400" w:lineRule="exact"/>
              <w:jc w:val="left"/>
              <w:rPr>
                <w:rFonts w:ascii="宋体" w:hAnsi="宋体"/>
                <w:szCs w:val="21"/>
              </w:rPr>
            </w:pPr>
            <w:r>
              <w:rPr>
                <w:rFonts w:ascii="宋体" w:hAnsi="宋体"/>
                <w:szCs w:val="21"/>
              </w:rPr>
              <w:t>2</w:t>
            </w:r>
            <w:r>
              <w:rPr>
                <w:rFonts w:hint="eastAsia" w:ascii="宋体" w:hAnsi="宋体"/>
                <w:szCs w:val="21"/>
              </w:rPr>
              <w:t>≤最优≤2.5，1</w:t>
            </w:r>
            <w:r>
              <w:rPr>
                <w:rFonts w:ascii="宋体" w:hAnsi="宋体"/>
                <w:szCs w:val="21"/>
              </w:rPr>
              <w:t>.5</w:t>
            </w:r>
            <w:r>
              <w:rPr>
                <w:rFonts w:hint="eastAsia" w:ascii="宋体" w:hAnsi="宋体"/>
                <w:szCs w:val="21"/>
              </w:rPr>
              <w:t>≤较优＜</w:t>
            </w:r>
            <w:r>
              <w:rPr>
                <w:rFonts w:ascii="宋体" w:hAnsi="宋体"/>
                <w:szCs w:val="21"/>
              </w:rPr>
              <w:t>2</w:t>
            </w:r>
            <w:r>
              <w:rPr>
                <w:rFonts w:hint="eastAsia" w:ascii="宋体" w:hAnsi="宋体"/>
                <w:szCs w:val="21"/>
              </w:rPr>
              <w:t>，</w:t>
            </w:r>
            <w:r>
              <w:rPr>
                <w:rFonts w:ascii="宋体" w:hAnsi="宋体"/>
                <w:szCs w:val="21"/>
              </w:rPr>
              <w:t>1</w:t>
            </w:r>
            <w:r>
              <w:rPr>
                <w:rFonts w:hint="eastAsia" w:ascii="宋体" w:hAnsi="宋体"/>
                <w:szCs w:val="21"/>
              </w:rPr>
              <w:t>≤一般＜</w:t>
            </w:r>
            <w:r>
              <w:rPr>
                <w:rFonts w:ascii="宋体" w:hAnsi="宋体"/>
                <w:szCs w:val="21"/>
              </w:rPr>
              <w:t>1.5</w:t>
            </w:r>
            <w:r>
              <w:rPr>
                <w:rFonts w:hint="eastAsia" w:ascii="宋体" w:hAnsi="宋体"/>
                <w:szCs w:val="21"/>
              </w:rPr>
              <w:t>，0≤差＜</w:t>
            </w:r>
            <w:r>
              <w:rPr>
                <w:rFonts w:ascii="宋体" w:hAnsi="宋体"/>
                <w:szCs w:val="21"/>
              </w:rPr>
              <w:t>1</w:t>
            </w:r>
          </w:p>
        </w:tc>
        <w:tc>
          <w:tcPr>
            <w:tcW w:w="709" w:type="dxa"/>
            <w:vAlign w:val="center"/>
          </w:tcPr>
          <w:p>
            <w:pPr>
              <w:wordWrap w:val="0"/>
              <w:spacing w:line="400" w:lineRule="exact"/>
              <w:jc w:val="center"/>
              <w:rPr>
                <w:rFonts w:ascii="宋体" w:hAnsi="宋体"/>
                <w:szCs w:val="21"/>
              </w:rPr>
            </w:pPr>
            <w:r>
              <w:rPr>
                <w:rFonts w:hint="eastAsia" w:ascii="宋体" w:hAnsi="宋体"/>
                <w:szCs w:val="21"/>
              </w:rPr>
              <w:t>2.5</w:t>
            </w:r>
          </w:p>
        </w:tc>
        <w:tc>
          <w:tcPr>
            <w:tcW w:w="708" w:type="dxa"/>
            <w:vAlign w:val="center"/>
          </w:tcPr>
          <w:p>
            <w:pPr>
              <w:wordWrap w:val="0"/>
              <w:spacing w:line="400" w:lineRule="exact"/>
              <w:jc w:val="center"/>
              <w:rPr>
                <w:rFonts w:ascii="宋体" w:hAnsi="宋体"/>
                <w:szCs w:val="21"/>
              </w:rPr>
            </w:pPr>
          </w:p>
        </w:tc>
        <w:tc>
          <w:tcPr>
            <w:tcW w:w="709" w:type="dxa"/>
            <w:vAlign w:val="center"/>
          </w:tcPr>
          <w:p>
            <w:pPr>
              <w:wordWrap w:val="0"/>
              <w:spacing w:line="400" w:lineRule="exact"/>
              <w:jc w:val="center"/>
              <w:rPr>
                <w:rFonts w:ascii="宋体" w:hAnsi="宋体"/>
                <w:szCs w:val="21"/>
              </w:rPr>
            </w:pPr>
          </w:p>
        </w:tc>
        <w:tc>
          <w:tcPr>
            <w:tcW w:w="709" w:type="dxa"/>
            <w:vAlign w:val="center"/>
          </w:tcPr>
          <w:p>
            <w:pPr>
              <w:wordWrap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878" w:type="dxa"/>
            <w:vAlign w:val="center"/>
          </w:tcPr>
          <w:p>
            <w:pPr>
              <w:wordWrap w:val="0"/>
              <w:spacing w:line="400" w:lineRule="exact"/>
              <w:jc w:val="center"/>
              <w:rPr>
                <w:rFonts w:ascii="宋体" w:hAnsi="宋体"/>
                <w:szCs w:val="21"/>
              </w:rPr>
            </w:pPr>
            <w:r>
              <w:rPr>
                <w:rFonts w:hint="eastAsia" w:ascii="宋体" w:hAnsi="宋体"/>
                <w:szCs w:val="21"/>
              </w:rPr>
              <w:t>3</w:t>
            </w:r>
          </w:p>
        </w:tc>
        <w:tc>
          <w:tcPr>
            <w:tcW w:w="1232" w:type="dxa"/>
            <w:vAlign w:val="center"/>
          </w:tcPr>
          <w:p>
            <w:pPr>
              <w:wordWrap w:val="0"/>
              <w:spacing w:line="400" w:lineRule="exact"/>
              <w:jc w:val="center"/>
              <w:rPr>
                <w:rFonts w:ascii="宋体" w:hAnsi="宋体"/>
                <w:szCs w:val="21"/>
              </w:rPr>
            </w:pPr>
            <w:r>
              <w:rPr>
                <w:rFonts w:hint="eastAsia" w:ascii="宋体" w:hAnsi="宋体"/>
                <w:szCs w:val="21"/>
              </w:rPr>
              <w:t>备件供应</w:t>
            </w:r>
          </w:p>
        </w:tc>
        <w:tc>
          <w:tcPr>
            <w:tcW w:w="4790" w:type="dxa"/>
          </w:tcPr>
          <w:p>
            <w:pPr>
              <w:wordWrap w:val="0"/>
              <w:spacing w:after="0" w:line="400" w:lineRule="exact"/>
              <w:jc w:val="left"/>
              <w:rPr>
                <w:rFonts w:ascii="宋体" w:hAnsi="宋体"/>
                <w:szCs w:val="21"/>
              </w:rPr>
            </w:pPr>
            <w:r>
              <w:rPr>
                <w:rFonts w:hint="eastAsia" w:ascii="宋体" w:hAnsi="宋体"/>
                <w:szCs w:val="21"/>
              </w:rPr>
              <w:t>评标委员会根据投标人备件库情况以及能提供及时有效服务的情况进行综合评价。</w:t>
            </w:r>
          </w:p>
          <w:p>
            <w:pPr>
              <w:wordWrap w:val="0"/>
              <w:spacing w:after="0" w:line="400" w:lineRule="exact"/>
              <w:jc w:val="left"/>
              <w:rPr>
                <w:rFonts w:ascii="宋体" w:hAnsi="宋体"/>
                <w:szCs w:val="21"/>
              </w:rPr>
            </w:pPr>
            <w:r>
              <w:rPr>
                <w:rFonts w:ascii="宋体" w:hAnsi="宋体"/>
                <w:szCs w:val="21"/>
              </w:rPr>
              <w:t>2</w:t>
            </w:r>
            <w:r>
              <w:rPr>
                <w:rFonts w:hint="eastAsia" w:ascii="宋体" w:hAnsi="宋体"/>
                <w:szCs w:val="21"/>
              </w:rPr>
              <w:t>≤最优≤2.5，1</w:t>
            </w:r>
            <w:r>
              <w:rPr>
                <w:rFonts w:ascii="宋体" w:hAnsi="宋体"/>
                <w:szCs w:val="21"/>
              </w:rPr>
              <w:t>.5</w:t>
            </w:r>
            <w:r>
              <w:rPr>
                <w:rFonts w:hint="eastAsia" w:ascii="宋体" w:hAnsi="宋体"/>
                <w:szCs w:val="21"/>
              </w:rPr>
              <w:t>≤较优＜</w:t>
            </w:r>
            <w:r>
              <w:rPr>
                <w:rFonts w:ascii="宋体" w:hAnsi="宋体"/>
                <w:szCs w:val="21"/>
              </w:rPr>
              <w:t>2</w:t>
            </w:r>
            <w:r>
              <w:rPr>
                <w:rFonts w:hint="eastAsia" w:ascii="宋体" w:hAnsi="宋体"/>
                <w:szCs w:val="21"/>
              </w:rPr>
              <w:t>，</w:t>
            </w:r>
            <w:r>
              <w:rPr>
                <w:rFonts w:ascii="宋体" w:hAnsi="宋体"/>
                <w:szCs w:val="21"/>
              </w:rPr>
              <w:t>1</w:t>
            </w:r>
            <w:r>
              <w:rPr>
                <w:rFonts w:hint="eastAsia" w:ascii="宋体" w:hAnsi="宋体"/>
                <w:szCs w:val="21"/>
              </w:rPr>
              <w:t>≤一般＜</w:t>
            </w:r>
            <w:r>
              <w:rPr>
                <w:rFonts w:ascii="宋体" w:hAnsi="宋体"/>
                <w:szCs w:val="21"/>
              </w:rPr>
              <w:t>1.5</w:t>
            </w:r>
            <w:r>
              <w:rPr>
                <w:rFonts w:hint="eastAsia" w:ascii="宋体" w:hAnsi="宋体"/>
                <w:szCs w:val="21"/>
              </w:rPr>
              <w:t>，0≤差＜</w:t>
            </w:r>
            <w:r>
              <w:rPr>
                <w:rFonts w:ascii="宋体" w:hAnsi="宋体"/>
                <w:szCs w:val="21"/>
              </w:rPr>
              <w:t>1</w:t>
            </w:r>
          </w:p>
        </w:tc>
        <w:tc>
          <w:tcPr>
            <w:tcW w:w="709" w:type="dxa"/>
            <w:vAlign w:val="center"/>
          </w:tcPr>
          <w:p>
            <w:pPr>
              <w:wordWrap w:val="0"/>
              <w:spacing w:line="400" w:lineRule="exact"/>
              <w:jc w:val="center"/>
              <w:rPr>
                <w:rFonts w:ascii="宋体" w:hAnsi="宋体"/>
                <w:szCs w:val="21"/>
              </w:rPr>
            </w:pPr>
            <w:r>
              <w:rPr>
                <w:rFonts w:hint="eastAsia" w:ascii="宋体" w:hAnsi="宋体"/>
                <w:szCs w:val="21"/>
              </w:rPr>
              <w:t>2.5</w:t>
            </w:r>
          </w:p>
        </w:tc>
        <w:tc>
          <w:tcPr>
            <w:tcW w:w="708" w:type="dxa"/>
            <w:vAlign w:val="center"/>
          </w:tcPr>
          <w:p>
            <w:pPr>
              <w:wordWrap w:val="0"/>
              <w:spacing w:line="400" w:lineRule="exact"/>
              <w:jc w:val="center"/>
              <w:rPr>
                <w:rFonts w:ascii="宋体" w:hAnsi="宋体"/>
                <w:szCs w:val="21"/>
              </w:rPr>
            </w:pPr>
          </w:p>
        </w:tc>
        <w:tc>
          <w:tcPr>
            <w:tcW w:w="709" w:type="dxa"/>
            <w:vAlign w:val="center"/>
          </w:tcPr>
          <w:p>
            <w:pPr>
              <w:wordWrap w:val="0"/>
              <w:spacing w:line="400" w:lineRule="exact"/>
              <w:jc w:val="center"/>
              <w:rPr>
                <w:rFonts w:ascii="宋体" w:hAnsi="宋体"/>
                <w:szCs w:val="21"/>
              </w:rPr>
            </w:pPr>
          </w:p>
        </w:tc>
        <w:tc>
          <w:tcPr>
            <w:tcW w:w="709" w:type="dxa"/>
            <w:vAlign w:val="center"/>
          </w:tcPr>
          <w:p>
            <w:pPr>
              <w:wordWrap w:val="0"/>
              <w:spacing w:line="400" w:lineRule="exact"/>
              <w:jc w:val="center"/>
              <w:rPr>
                <w:rFonts w:ascii="宋体" w:hAnsi="宋体"/>
                <w:szCs w:val="21"/>
              </w:rPr>
            </w:pPr>
          </w:p>
        </w:tc>
      </w:tr>
    </w:tbl>
    <w:p>
      <w:pPr>
        <w:wordWrap w:val="0"/>
        <w:spacing w:line="360" w:lineRule="auto"/>
        <w:ind w:left="420"/>
        <w:contextualSpacing/>
        <w:rPr>
          <w:rFonts w:ascii="宋体" w:hAnsi="宋体"/>
          <w:szCs w:val="21"/>
        </w:rPr>
      </w:pPr>
      <w:r>
        <w:rPr>
          <w:rFonts w:hint="eastAsia" w:ascii="宋体" w:hAnsi="宋体"/>
        </w:rPr>
        <w:t>备注：</w:t>
      </w:r>
      <w:r>
        <w:rPr>
          <w:rFonts w:hint="eastAsia" w:ascii="宋体" w:hAnsi="宋体"/>
          <w:szCs w:val="21"/>
        </w:rPr>
        <w:t>采取两步评价方法：第一步，评标委员会成员独立确定投标人该项评价内容的优劣等级，根据优劣等级对应的分值算术平均后确定该投标人该项评价内容的平均等级；第二步，评标委员会成员根据投标人的平均等级，在对应的分值区间内打分。</w:t>
      </w:r>
    </w:p>
    <w:p>
      <w:pPr>
        <w:wordWrap w:val="0"/>
        <w:spacing w:line="360" w:lineRule="auto"/>
        <w:ind w:left="420"/>
        <w:contextualSpacing/>
        <w:rPr>
          <w:rFonts w:ascii="宋体" w:hAnsi="宋体"/>
          <w:szCs w:val="21"/>
        </w:rPr>
      </w:pPr>
    </w:p>
    <w:p>
      <w:pPr>
        <w:rPr>
          <w:rFonts w:ascii="宋体" w:hAnsi="宋体"/>
          <w:szCs w:val="21"/>
        </w:rPr>
      </w:pPr>
      <w:r>
        <w:rPr>
          <w:rFonts w:hint="eastAsia" w:ascii="宋体" w:hAnsi="宋体"/>
          <w:szCs w:val="21"/>
        </w:rPr>
        <w:br w:type="page"/>
      </w:r>
    </w:p>
    <w:p>
      <w:pPr>
        <w:wordWrap w:val="0"/>
        <w:spacing w:line="360" w:lineRule="auto"/>
        <w:ind w:left="420"/>
        <w:contextualSpacing/>
        <w:rPr>
          <w:rFonts w:ascii="宋体" w:hAnsi="宋体"/>
          <w:szCs w:val="21"/>
        </w:rPr>
      </w:pPr>
      <w:r>
        <w:rPr>
          <w:rFonts w:hint="eastAsia" w:ascii="宋体" w:hAnsi="宋体"/>
          <w:szCs w:val="21"/>
        </w:rPr>
        <w:t>2.4、价格评分表（满分</w:t>
      </w:r>
      <w:r>
        <w:rPr>
          <w:rFonts w:ascii="宋体" w:hAnsi="宋体"/>
          <w:szCs w:val="21"/>
        </w:rPr>
        <w:t>4</w:t>
      </w:r>
      <w:r>
        <w:rPr>
          <w:rFonts w:hint="eastAsia" w:ascii="宋体" w:hAnsi="宋体"/>
          <w:szCs w:val="21"/>
        </w:rPr>
        <w:t>0分）</w:t>
      </w:r>
    </w:p>
    <w:p>
      <w:pPr>
        <w:wordWrap w:val="0"/>
        <w:spacing w:line="276" w:lineRule="auto"/>
        <w:ind w:left="420" w:right="105"/>
        <w:jc w:val="right"/>
        <w:rPr>
          <w:rFonts w:ascii="宋体" w:hAnsi="宋体"/>
          <w:szCs w:val="21"/>
        </w:rPr>
      </w:pPr>
      <w:r>
        <w:rPr>
          <w:rFonts w:hint="eastAsia" w:ascii="宋体" w:hAnsi="宋体"/>
          <w:szCs w:val="21"/>
        </w:rPr>
        <w:t>适用</w:t>
      </w:r>
      <w:r>
        <w:rPr>
          <w:rFonts w:ascii="宋体" w:hAnsi="宋体"/>
          <w:szCs w:val="21"/>
        </w:rPr>
        <w:t>品目一、二</w:t>
      </w:r>
    </w:p>
    <w:tbl>
      <w:tblPr>
        <w:tblStyle w:val="25"/>
        <w:tblW w:w="9735" w:type="dxa"/>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344"/>
        <w:gridCol w:w="4678"/>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8" w:type="dxa"/>
            <w:vAlign w:val="center"/>
          </w:tcPr>
          <w:p>
            <w:pPr>
              <w:wordWrap w:val="0"/>
              <w:spacing w:line="400" w:lineRule="exact"/>
              <w:jc w:val="center"/>
              <w:rPr>
                <w:rFonts w:ascii="宋体" w:hAnsi="宋体"/>
                <w:szCs w:val="21"/>
              </w:rPr>
            </w:pPr>
            <w:r>
              <w:rPr>
                <w:rFonts w:hint="eastAsia" w:ascii="宋体" w:hAnsi="宋体"/>
                <w:szCs w:val="21"/>
              </w:rPr>
              <w:t>序号</w:t>
            </w:r>
          </w:p>
        </w:tc>
        <w:tc>
          <w:tcPr>
            <w:tcW w:w="1344" w:type="dxa"/>
            <w:vAlign w:val="center"/>
          </w:tcPr>
          <w:p>
            <w:pPr>
              <w:wordWrap w:val="0"/>
              <w:spacing w:line="400" w:lineRule="exact"/>
              <w:jc w:val="center"/>
              <w:rPr>
                <w:rFonts w:ascii="宋体" w:hAnsi="宋体"/>
                <w:szCs w:val="21"/>
              </w:rPr>
            </w:pPr>
            <w:r>
              <w:rPr>
                <w:rFonts w:hint="eastAsia" w:ascii="宋体" w:hAnsi="宋体"/>
                <w:szCs w:val="21"/>
              </w:rPr>
              <w:t>评审内容</w:t>
            </w:r>
          </w:p>
        </w:tc>
        <w:tc>
          <w:tcPr>
            <w:tcW w:w="4678" w:type="dxa"/>
            <w:vAlign w:val="center"/>
          </w:tcPr>
          <w:p>
            <w:pPr>
              <w:wordWrap w:val="0"/>
              <w:spacing w:line="400" w:lineRule="exact"/>
              <w:jc w:val="center"/>
              <w:rPr>
                <w:rFonts w:ascii="宋体" w:hAnsi="宋体"/>
                <w:szCs w:val="21"/>
              </w:rPr>
            </w:pPr>
            <w:r>
              <w:rPr>
                <w:rFonts w:hint="eastAsia" w:ascii="宋体" w:hAnsi="宋体"/>
                <w:szCs w:val="21"/>
              </w:rPr>
              <w:t>评审标准</w:t>
            </w:r>
          </w:p>
        </w:tc>
        <w:tc>
          <w:tcPr>
            <w:tcW w:w="709" w:type="dxa"/>
            <w:vAlign w:val="center"/>
          </w:tcPr>
          <w:p>
            <w:pPr>
              <w:wordWrap w:val="0"/>
              <w:spacing w:line="400" w:lineRule="exact"/>
              <w:jc w:val="center"/>
              <w:rPr>
                <w:rFonts w:ascii="宋体" w:hAnsi="宋体"/>
                <w:szCs w:val="21"/>
              </w:rPr>
            </w:pPr>
            <w:r>
              <w:rPr>
                <w:rFonts w:hint="eastAsia" w:ascii="宋体" w:hAnsi="宋体"/>
                <w:szCs w:val="21"/>
              </w:rPr>
              <w:t>分值</w:t>
            </w:r>
          </w:p>
        </w:tc>
        <w:tc>
          <w:tcPr>
            <w:tcW w:w="708" w:type="dxa"/>
            <w:vAlign w:val="center"/>
          </w:tcPr>
          <w:p>
            <w:pPr>
              <w:wordWrap w:val="0"/>
              <w:spacing w:line="400" w:lineRule="exact"/>
              <w:jc w:val="center"/>
              <w:rPr>
                <w:rFonts w:ascii="宋体" w:hAnsi="宋体"/>
                <w:szCs w:val="21"/>
              </w:rPr>
            </w:pPr>
            <w:r>
              <w:rPr>
                <w:rFonts w:hint="eastAsia" w:ascii="宋体" w:hAnsi="宋体"/>
                <w:szCs w:val="21"/>
              </w:rPr>
              <w:t>投标人1</w:t>
            </w:r>
          </w:p>
        </w:tc>
        <w:tc>
          <w:tcPr>
            <w:tcW w:w="709" w:type="dxa"/>
            <w:vAlign w:val="center"/>
          </w:tcPr>
          <w:p>
            <w:pPr>
              <w:wordWrap w:val="0"/>
              <w:spacing w:line="400" w:lineRule="exact"/>
              <w:jc w:val="center"/>
              <w:rPr>
                <w:rFonts w:ascii="宋体" w:hAnsi="宋体"/>
                <w:szCs w:val="21"/>
              </w:rPr>
            </w:pPr>
            <w:r>
              <w:rPr>
                <w:rFonts w:hint="eastAsia" w:ascii="宋体" w:hAnsi="宋体"/>
                <w:szCs w:val="21"/>
              </w:rPr>
              <w:t>投标人2</w:t>
            </w:r>
          </w:p>
        </w:tc>
        <w:tc>
          <w:tcPr>
            <w:tcW w:w="709" w:type="dxa"/>
            <w:vAlign w:val="center"/>
          </w:tcPr>
          <w:p>
            <w:pPr>
              <w:wordWrap w:val="0"/>
              <w:spacing w:line="400" w:lineRule="exact"/>
              <w:jc w:val="center"/>
              <w:rPr>
                <w:rFonts w:ascii="宋体" w:hAnsi="宋体"/>
                <w:szCs w:val="21"/>
              </w:rPr>
            </w:pPr>
            <w:r>
              <w:rPr>
                <w:rFonts w:hint="eastAsia" w:ascii="宋体" w:hAnsi="宋体"/>
                <w:szCs w:val="21"/>
              </w:rPr>
              <w:t>投标人</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878" w:type="dxa"/>
            <w:vAlign w:val="center"/>
          </w:tcPr>
          <w:p>
            <w:pPr>
              <w:wordWrap w:val="0"/>
              <w:spacing w:line="400" w:lineRule="exact"/>
              <w:jc w:val="center"/>
              <w:rPr>
                <w:rFonts w:ascii="宋体" w:hAnsi="宋体"/>
                <w:szCs w:val="21"/>
              </w:rPr>
            </w:pPr>
            <w:r>
              <w:rPr>
                <w:rFonts w:hint="eastAsia" w:ascii="宋体" w:hAnsi="宋体"/>
                <w:szCs w:val="21"/>
              </w:rPr>
              <w:t>1</w:t>
            </w:r>
          </w:p>
        </w:tc>
        <w:tc>
          <w:tcPr>
            <w:tcW w:w="1344" w:type="dxa"/>
            <w:vAlign w:val="center"/>
          </w:tcPr>
          <w:p>
            <w:pPr>
              <w:wordWrap w:val="0"/>
              <w:spacing w:line="400" w:lineRule="exact"/>
              <w:jc w:val="center"/>
              <w:rPr>
                <w:rFonts w:ascii="宋体" w:hAnsi="宋体"/>
                <w:szCs w:val="21"/>
              </w:rPr>
            </w:pPr>
            <w:r>
              <w:rPr>
                <w:rFonts w:hint="eastAsia" w:ascii="宋体" w:hAnsi="宋体"/>
                <w:szCs w:val="21"/>
              </w:rPr>
              <w:t>价格</w:t>
            </w:r>
            <w:r>
              <w:rPr>
                <w:rFonts w:ascii="宋体" w:hAnsi="宋体"/>
                <w:szCs w:val="21"/>
              </w:rPr>
              <w:t>分</w:t>
            </w:r>
          </w:p>
        </w:tc>
        <w:tc>
          <w:tcPr>
            <w:tcW w:w="4678" w:type="dxa"/>
          </w:tcPr>
          <w:p>
            <w:pPr>
              <w:tabs>
                <w:tab w:val="left" w:pos="720"/>
              </w:tabs>
              <w:wordWrap w:val="0"/>
              <w:adjustRightInd/>
              <w:spacing w:after="0" w:line="360" w:lineRule="auto"/>
              <w:contextualSpacing/>
              <w:rPr>
                <w:rFonts w:ascii="宋体" w:hAnsi="宋体"/>
                <w:szCs w:val="21"/>
              </w:rPr>
            </w:pPr>
            <w:r>
              <w:rPr>
                <w:rFonts w:hint="eastAsia" w:ascii="宋体" w:hAnsi="宋体"/>
                <w:szCs w:val="21"/>
              </w:rPr>
              <w:t>价格打分（满分40分）</w:t>
            </w:r>
          </w:p>
          <w:p>
            <w:pPr>
              <w:tabs>
                <w:tab w:val="left" w:pos="720"/>
              </w:tabs>
              <w:wordWrap w:val="0"/>
              <w:adjustRightInd/>
              <w:spacing w:after="0" w:line="360" w:lineRule="auto"/>
              <w:rPr>
                <w:rFonts w:ascii="宋体" w:hAnsi="宋体"/>
                <w:szCs w:val="21"/>
              </w:rPr>
            </w:pPr>
            <w:r>
              <w:rPr>
                <w:rFonts w:hint="eastAsia" w:ascii="宋体" w:hAnsi="宋体"/>
                <w:szCs w:val="21"/>
              </w:rPr>
              <w:t>评标基准价=价格评审合格投标人中的最低评标价格。</w:t>
            </w:r>
          </w:p>
          <w:p>
            <w:pPr>
              <w:tabs>
                <w:tab w:val="left" w:pos="720"/>
              </w:tabs>
              <w:wordWrap w:val="0"/>
              <w:adjustRightInd/>
              <w:spacing w:after="0" w:line="360" w:lineRule="auto"/>
              <w:rPr>
                <w:rFonts w:ascii="宋体" w:hAnsi="宋体"/>
                <w:szCs w:val="21"/>
              </w:rPr>
            </w:pPr>
            <w:r>
              <w:rPr>
                <w:rFonts w:hint="eastAsia" w:ascii="宋体" w:hAnsi="宋体"/>
                <w:szCs w:val="21"/>
              </w:rPr>
              <w:t>投标报价为基准价的得满分40分，</w:t>
            </w:r>
          </w:p>
          <w:p>
            <w:pPr>
              <w:tabs>
                <w:tab w:val="left" w:pos="720"/>
              </w:tabs>
              <w:wordWrap w:val="0"/>
              <w:adjustRightInd/>
              <w:spacing w:after="0" w:line="360" w:lineRule="auto"/>
              <w:rPr>
                <w:rFonts w:ascii="宋体" w:hAnsi="宋体" w:cs="宋体"/>
              </w:rPr>
            </w:pPr>
            <w:r>
              <w:rPr>
                <w:rFonts w:hint="eastAsia" w:ascii="宋体" w:hAnsi="宋体"/>
                <w:szCs w:val="21"/>
              </w:rPr>
              <w:t>其余投标报价</w:t>
            </w:r>
            <w:r>
              <w:rPr>
                <w:rFonts w:hint="eastAsia" w:ascii="宋体" w:hAnsi="宋体" w:cs="宋体"/>
              </w:rPr>
              <w:t>得分=(评标基准价／</w:t>
            </w:r>
            <w:r>
              <w:rPr>
                <w:rFonts w:hint="eastAsia" w:ascii="宋体" w:hAnsi="宋体"/>
                <w:szCs w:val="21"/>
              </w:rPr>
              <w:t>其余价格评审合格投标人的评标价格</w:t>
            </w:r>
            <w:r>
              <w:rPr>
                <w:rFonts w:hint="eastAsia" w:ascii="宋体" w:hAnsi="宋体" w:cs="宋体"/>
              </w:rPr>
              <w:t>)×</w:t>
            </w:r>
            <w:r>
              <w:rPr>
                <w:rFonts w:hint="eastAsia" w:ascii="宋体" w:hAnsi="宋体" w:cs="宋体"/>
                <w:u w:val="single"/>
              </w:rPr>
              <w:t>40</w:t>
            </w:r>
            <w:r>
              <w:rPr>
                <w:rFonts w:hint="eastAsia" w:ascii="宋体" w:hAnsi="宋体" w:cs="宋体"/>
              </w:rPr>
              <w:t>%×100。</w:t>
            </w:r>
          </w:p>
          <w:p>
            <w:pPr>
              <w:tabs>
                <w:tab w:val="left" w:pos="720"/>
              </w:tabs>
              <w:wordWrap w:val="0"/>
              <w:adjustRightInd/>
              <w:spacing w:after="0" w:line="360" w:lineRule="auto"/>
              <w:rPr>
                <w:rFonts w:ascii="宋体" w:hAnsi="宋体"/>
                <w:szCs w:val="21"/>
              </w:rPr>
            </w:pPr>
            <w:r>
              <w:rPr>
                <w:rFonts w:hint="eastAsia" w:ascii="宋体" w:hAnsi="宋体"/>
                <w:szCs w:val="21"/>
              </w:rPr>
              <w:t>(价格得分以四舍五入方法整合到小数点后两位)</w:t>
            </w:r>
          </w:p>
        </w:tc>
        <w:tc>
          <w:tcPr>
            <w:tcW w:w="709" w:type="dxa"/>
            <w:vAlign w:val="center"/>
          </w:tcPr>
          <w:p>
            <w:pPr>
              <w:wordWrap w:val="0"/>
              <w:spacing w:line="400" w:lineRule="exact"/>
              <w:jc w:val="center"/>
              <w:rPr>
                <w:rFonts w:ascii="宋体" w:hAnsi="宋体"/>
                <w:szCs w:val="21"/>
              </w:rPr>
            </w:pPr>
            <w:r>
              <w:rPr>
                <w:rFonts w:ascii="宋体" w:hAnsi="宋体"/>
                <w:szCs w:val="21"/>
              </w:rPr>
              <w:t>40</w:t>
            </w:r>
          </w:p>
        </w:tc>
        <w:tc>
          <w:tcPr>
            <w:tcW w:w="708" w:type="dxa"/>
            <w:vAlign w:val="center"/>
          </w:tcPr>
          <w:p>
            <w:pPr>
              <w:wordWrap w:val="0"/>
              <w:spacing w:line="400" w:lineRule="exact"/>
              <w:jc w:val="center"/>
              <w:rPr>
                <w:rFonts w:ascii="宋体" w:hAnsi="宋体"/>
                <w:szCs w:val="21"/>
              </w:rPr>
            </w:pPr>
          </w:p>
        </w:tc>
        <w:tc>
          <w:tcPr>
            <w:tcW w:w="709" w:type="dxa"/>
            <w:vAlign w:val="center"/>
          </w:tcPr>
          <w:p>
            <w:pPr>
              <w:wordWrap w:val="0"/>
              <w:spacing w:line="400" w:lineRule="exact"/>
              <w:jc w:val="center"/>
              <w:rPr>
                <w:rFonts w:ascii="宋体" w:hAnsi="宋体"/>
                <w:szCs w:val="21"/>
              </w:rPr>
            </w:pPr>
          </w:p>
        </w:tc>
        <w:tc>
          <w:tcPr>
            <w:tcW w:w="709" w:type="dxa"/>
            <w:vAlign w:val="center"/>
          </w:tcPr>
          <w:p>
            <w:pPr>
              <w:wordWrap w:val="0"/>
              <w:spacing w:line="400" w:lineRule="exact"/>
              <w:jc w:val="center"/>
              <w:rPr>
                <w:rFonts w:ascii="宋体" w:hAnsi="宋体"/>
                <w:szCs w:val="21"/>
              </w:rPr>
            </w:pPr>
          </w:p>
        </w:tc>
      </w:tr>
    </w:tbl>
    <w:p>
      <w:pPr>
        <w:rPr>
          <w:rFonts w:asciiTheme="minorEastAsia" w:hAnsiTheme="minorEastAsia" w:eastAsiaTheme="minorEastAsia" w:cstheme="minorEastAsia"/>
          <w:szCs w:val="21"/>
        </w:rPr>
      </w:pPr>
      <w:bookmarkStart w:id="6" w:name="_GoBack"/>
      <w:bookmarkEnd w:id="6"/>
    </w:p>
    <w:sectPr>
      <w:headerReference r:id="rId5" w:type="default"/>
      <w:footerReference r:id="rId6" w:type="default"/>
      <w:pgSz w:w="11906" w:h="16838"/>
      <w:pgMar w:top="1103" w:right="1558" w:bottom="779" w:left="1800" w:header="851" w:footer="42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Helvetica-Bold">
    <w:altName w:val="Segoe Print"/>
    <w:panose1 w:val="00000000000000000000"/>
    <w:charset w:val="00"/>
    <w:family w:val="auto"/>
    <w:pitch w:val="default"/>
    <w:sig w:usb0="00000000" w:usb1="00000000" w:usb2="00000000" w:usb3="00000000" w:csb0="2000019F" w:csb1="4F010000"/>
  </w:font>
  <w:font w:name="MS Mincho">
    <w:panose1 w:val="02020609040205080304"/>
    <w:charset w:val="80"/>
    <w:family w:val="modern"/>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rPr>
    </w:pPr>
    <w:r>
      <w:rPr>
        <w:rFonts w:ascii="宋体" w:hAnsi="宋体"/>
      </w:rPr>
      <w:fldChar w:fldCharType="begin"/>
    </w:r>
    <w:r>
      <w:rPr>
        <w:rStyle w:val="21"/>
        <w:rFonts w:ascii="宋体" w:hAnsi="宋体"/>
      </w:rPr>
      <w:instrText xml:space="preserve"> PAGE </w:instrText>
    </w:r>
    <w:r>
      <w:rPr>
        <w:rFonts w:ascii="宋体" w:hAnsi="宋体"/>
      </w:rPr>
      <w:fldChar w:fldCharType="separate"/>
    </w:r>
    <w:r>
      <w:rPr>
        <w:rStyle w:val="21"/>
        <w:rFonts w:ascii="宋体" w:hAnsi="宋体"/>
      </w:rPr>
      <w:t>3</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1"/>
        <w:szCs w:val="21"/>
      </w:rPr>
    </w:pPr>
    <w:r>
      <w:rPr>
        <w:rFonts w:ascii="宋体" w:hAnsi="宋体"/>
        <w:kern w:val="0"/>
        <w:sz w:val="21"/>
        <w:szCs w:val="21"/>
      </w:rPr>
      <w:t xml:space="preserve">- </w:t>
    </w:r>
    <w:r>
      <w:rPr>
        <w:rFonts w:ascii="宋体" w:hAnsi="宋体"/>
        <w:kern w:val="0"/>
        <w:sz w:val="21"/>
        <w:szCs w:val="21"/>
      </w:rPr>
      <w:fldChar w:fldCharType="begin"/>
    </w:r>
    <w:r>
      <w:rPr>
        <w:rFonts w:ascii="宋体" w:hAnsi="宋体"/>
        <w:kern w:val="0"/>
        <w:sz w:val="21"/>
        <w:szCs w:val="21"/>
      </w:rPr>
      <w:instrText xml:space="preserve"> PAGE </w:instrText>
    </w:r>
    <w:r>
      <w:rPr>
        <w:rFonts w:ascii="宋体" w:hAnsi="宋体"/>
        <w:kern w:val="0"/>
        <w:sz w:val="21"/>
        <w:szCs w:val="21"/>
      </w:rPr>
      <w:fldChar w:fldCharType="separate"/>
    </w:r>
    <w:r>
      <w:rPr>
        <w:rFonts w:ascii="宋体" w:hAnsi="宋体"/>
        <w:kern w:val="0"/>
        <w:sz w:val="21"/>
        <w:szCs w:val="21"/>
      </w:rPr>
      <w:t>19</w:t>
    </w:r>
    <w:r>
      <w:rPr>
        <w:rFonts w:ascii="宋体" w:hAnsi="宋体"/>
        <w:kern w:val="0"/>
        <w:sz w:val="21"/>
        <w:szCs w:val="21"/>
      </w:rPr>
      <w:fldChar w:fldCharType="end"/>
    </w:r>
    <w:r>
      <w:rPr>
        <w:rFonts w:ascii="宋体" w:hAnsi="宋体"/>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招标文件投标邀请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招标文件评标方法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06BC"/>
    <w:multiLevelType w:val="multilevel"/>
    <w:tmpl w:val="279406BC"/>
    <w:lvl w:ilvl="0" w:tentative="0">
      <w:start w:val="2"/>
      <w:numFmt w:val="decimal"/>
      <w:lvlText w:val="%1、"/>
      <w:lvlJc w:val="left"/>
      <w:pPr>
        <w:tabs>
          <w:tab w:val="left" w:pos="525"/>
        </w:tabs>
        <w:ind w:left="525" w:hanging="52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DF3712"/>
    <w:rsid w:val="00007E68"/>
    <w:rsid w:val="000163CF"/>
    <w:rsid w:val="00017D77"/>
    <w:rsid w:val="00021F97"/>
    <w:rsid w:val="000233AE"/>
    <w:rsid w:val="00025292"/>
    <w:rsid w:val="00026ACF"/>
    <w:rsid w:val="00034BDB"/>
    <w:rsid w:val="00043BCC"/>
    <w:rsid w:val="000510EB"/>
    <w:rsid w:val="00053401"/>
    <w:rsid w:val="00053654"/>
    <w:rsid w:val="00053BEA"/>
    <w:rsid w:val="00056241"/>
    <w:rsid w:val="0006652F"/>
    <w:rsid w:val="00066697"/>
    <w:rsid w:val="00067505"/>
    <w:rsid w:val="00075A81"/>
    <w:rsid w:val="00077E9C"/>
    <w:rsid w:val="0008757C"/>
    <w:rsid w:val="000A17F4"/>
    <w:rsid w:val="000A3A45"/>
    <w:rsid w:val="000B28E9"/>
    <w:rsid w:val="000B2FBF"/>
    <w:rsid w:val="000D055E"/>
    <w:rsid w:val="000D496D"/>
    <w:rsid w:val="000E7FD3"/>
    <w:rsid w:val="000F7174"/>
    <w:rsid w:val="001076E3"/>
    <w:rsid w:val="00125E1A"/>
    <w:rsid w:val="001332B7"/>
    <w:rsid w:val="001420CD"/>
    <w:rsid w:val="001426A5"/>
    <w:rsid w:val="00143878"/>
    <w:rsid w:val="00147C78"/>
    <w:rsid w:val="00182AC2"/>
    <w:rsid w:val="00190625"/>
    <w:rsid w:val="001B656B"/>
    <w:rsid w:val="001D3988"/>
    <w:rsid w:val="001D5225"/>
    <w:rsid w:val="001D583F"/>
    <w:rsid w:val="00206318"/>
    <w:rsid w:val="00207545"/>
    <w:rsid w:val="002250DC"/>
    <w:rsid w:val="002312D8"/>
    <w:rsid w:val="0025160B"/>
    <w:rsid w:val="00263A83"/>
    <w:rsid w:val="00266CCE"/>
    <w:rsid w:val="00282B64"/>
    <w:rsid w:val="00285756"/>
    <w:rsid w:val="00285873"/>
    <w:rsid w:val="00290E88"/>
    <w:rsid w:val="002A3847"/>
    <w:rsid w:val="002B6E71"/>
    <w:rsid w:val="002C26A8"/>
    <w:rsid w:val="002C4E23"/>
    <w:rsid w:val="002D4C9F"/>
    <w:rsid w:val="002E2E98"/>
    <w:rsid w:val="003008C0"/>
    <w:rsid w:val="00304153"/>
    <w:rsid w:val="003156D4"/>
    <w:rsid w:val="0032192E"/>
    <w:rsid w:val="00322808"/>
    <w:rsid w:val="00322995"/>
    <w:rsid w:val="003333FA"/>
    <w:rsid w:val="00341775"/>
    <w:rsid w:val="0035613D"/>
    <w:rsid w:val="00357138"/>
    <w:rsid w:val="00361FB8"/>
    <w:rsid w:val="003710A0"/>
    <w:rsid w:val="0037261A"/>
    <w:rsid w:val="00376235"/>
    <w:rsid w:val="003803B2"/>
    <w:rsid w:val="003824A8"/>
    <w:rsid w:val="00382B09"/>
    <w:rsid w:val="00385655"/>
    <w:rsid w:val="00387388"/>
    <w:rsid w:val="00393A27"/>
    <w:rsid w:val="00393D44"/>
    <w:rsid w:val="00395BBE"/>
    <w:rsid w:val="003975F5"/>
    <w:rsid w:val="003A5F3D"/>
    <w:rsid w:val="003A76D0"/>
    <w:rsid w:val="003D214B"/>
    <w:rsid w:val="003D3A5F"/>
    <w:rsid w:val="004514EF"/>
    <w:rsid w:val="00462158"/>
    <w:rsid w:val="00462693"/>
    <w:rsid w:val="004644C7"/>
    <w:rsid w:val="00471DAC"/>
    <w:rsid w:val="00473C6A"/>
    <w:rsid w:val="004809E3"/>
    <w:rsid w:val="00482DBD"/>
    <w:rsid w:val="00494FBA"/>
    <w:rsid w:val="004C4401"/>
    <w:rsid w:val="004D468B"/>
    <w:rsid w:val="004E3EE9"/>
    <w:rsid w:val="004E7B29"/>
    <w:rsid w:val="004F315E"/>
    <w:rsid w:val="004F4987"/>
    <w:rsid w:val="005011AD"/>
    <w:rsid w:val="00501942"/>
    <w:rsid w:val="0050508A"/>
    <w:rsid w:val="00505AE7"/>
    <w:rsid w:val="0051492B"/>
    <w:rsid w:val="00514AC0"/>
    <w:rsid w:val="00517982"/>
    <w:rsid w:val="005332AF"/>
    <w:rsid w:val="00542253"/>
    <w:rsid w:val="005425D2"/>
    <w:rsid w:val="005451AE"/>
    <w:rsid w:val="0055139B"/>
    <w:rsid w:val="005518A0"/>
    <w:rsid w:val="00553711"/>
    <w:rsid w:val="00560387"/>
    <w:rsid w:val="0056210A"/>
    <w:rsid w:val="00571A51"/>
    <w:rsid w:val="00572155"/>
    <w:rsid w:val="0058561F"/>
    <w:rsid w:val="005A07C8"/>
    <w:rsid w:val="005A1857"/>
    <w:rsid w:val="005A3B45"/>
    <w:rsid w:val="005B0B75"/>
    <w:rsid w:val="005B1B75"/>
    <w:rsid w:val="005B20E0"/>
    <w:rsid w:val="005B2C7C"/>
    <w:rsid w:val="005C7DF4"/>
    <w:rsid w:val="005D407B"/>
    <w:rsid w:val="005D5F4D"/>
    <w:rsid w:val="005E05E2"/>
    <w:rsid w:val="005E390D"/>
    <w:rsid w:val="005E535D"/>
    <w:rsid w:val="005F6C76"/>
    <w:rsid w:val="00607608"/>
    <w:rsid w:val="00610D03"/>
    <w:rsid w:val="00610FF0"/>
    <w:rsid w:val="006151CF"/>
    <w:rsid w:val="0061739B"/>
    <w:rsid w:val="00623577"/>
    <w:rsid w:val="006322D6"/>
    <w:rsid w:val="00656041"/>
    <w:rsid w:val="00665462"/>
    <w:rsid w:val="0066589F"/>
    <w:rsid w:val="00667236"/>
    <w:rsid w:val="006937E1"/>
    <w:rsid w:val="00696623"/>
    <w:rsid w:val="006A24B1"/>
    <w:rsid w:val="006A530F"/>
    <w:rsid w:val="006B1CB5"/>
    <w:rsid w:val="006B4963"/>
    <w:rsid w:val="006D609B"/>
    <w:rsid w:val="006D64C5"/>
    <w:rsid w:val="00704320"/>
    <w:rsid w:val="00704737"/>
    <w:rsid w:val="00711326"/>
    <w:rsid w:val="00714C45"/>
    <w:rsid w:val="00742C7A"/>
    <w:rsid w:val="00744223"/>
    <w:rsid w:val="00745B8F"/>
    <w:rsid w:val="00761A35"/>
    <w:rsid w:val="007644FC"/>
    <w:rsid w:val="00766CA3"/>
    <w:rsid w:val="00773AA9"/>
    <w:rsid w:val="00776BA2"/>
    <w:rsid w:val="007846F2"/>
    <w:rsid w:val="00795C50"/>
    <w:rsid w:val="007B436F"/>
    <w:rsid w:val="007C1664"/>
    <w:rsid w:val="007C2F20"/>
    <w:rsid w:val="007E6E7B"/>
    <w:rsid w:val="008001A2"/>
    <w:rsid w:val="008137FE"/>
    <w:rsid w:val="00815C42"/>
    <w:rsid w:val="00816A22"/>
    <w:rsid w:val="00825430"/>
    <w:rsid w:val="008468AE"/>
    <w:rsid w:val="0085435C"/>
    <w:rsid w:val="00855E54"/>
    <w:rsid w:val="0085661F"/>
    <w:rsid w:val="00856763"/>
    <w:rsid w:val="0086663C"/>
    <w:rsid w:val="00876466"/>
    <w:rsid w:val="00880C78"/>
    <w:rsid w:val="00891CA9"/>
    <w:rsid w:val="00896FFF"/>
    <w:rsid w:val="00897C29"/>
    <w:rsid w:val="008B1AEA"/>
    <w:rsid w:val="008C01CD"/>
    <w:rsid w:val="008C16F4"/>
    <w:rsid w:val="008D1580"/>
    <w:rsid w:val="008D1BB0"/>
    <w:rsid w:val="008D43F1"/>
    <w:rsid w:val="008F7702"/>
    <w:rsid w:val="008F7EA5"/>
    <w:rsid w:val="00912B05"/>
    <w:rsid w:val="00913D3C"/>
    <w:rsid w:val="00917B62"/>
    <w:rsid w:val="00920AC8"/>
    <w:rsid w:val="00920DF4"/>
    <w:rsid w:val="00930D5E"/>
    <w:rsid w:val="009337AB"/>
    <w:rsid w:val="009358BC"/>
    <w:rsid w:val="009367EE"/>
    <w:rsid w:val="0094328F"/>
    <w:rsid w:val="00946509"/>
    <w:rsid w:val="00950337"/>
    <w:rsid w:val="009571D0"/>
    <w:rsid w:val="00962544"/>
    <w:rsid w:val="00967319"/>
    <w:rsid w:val="00967B09"/>
    <w:rsid w:val="00987A7B"/>
    <w:rsid w:val="009905E2"/>
    <w:rsid w:val="009970A8"/>
    <w:rsid w:val="00997501"/>
    <w:rsid w:val="009A7EE5"/>
    <w:rsid w:val="009C1800"/>
    <w:rsid w:val="009C516E"/>
    <w:rsid w:val="009D32F1"/>
    <w:rsid w:val="009E0AF1"/>
    <w:rsid w:val="009E2978"/>
    <w:rsid w:val="009E3C40"/>
    <w:rsid w:val="009E7487"/>
    <w:rsid w:val="009F188A"/>
    <w:rsid w:val="009F2962"/>
    <w:rsid w:val="009F43A3"/>
    <w:rsid w:val="00A11284"/>
    <w:rsid w:val="00A1394F"/>
    <w:rsid w:val="00A32A1D"/>
    <w:rsid w:val="00A35914"/>
    <w:rsid w:val="00A46429"/>
    <w:rsid w:val="00A612F2"/>
    <w:rsid w:val="00A711A3"/>
    <w:rsid w:val="00A8182B"/>
    <w:rsid w:val="00A8690B"/>
    <w:rsid w:val="00A91BC5"/>
    <w:rsid w:val="00A91E6D"/>
    <w:rsid w:val="00A93427"/>
    <w:rsid w:val="00AA13E7"/>
    <w:rsid w:val="00AB440F"/>
    <w:rsid w:val="00AB5978"/>
    <w:rsid w:val="00AB6AEB"/>
    <w:rsid w:val="00AC11C5"/>
    <w:rsid w:val="00AD5E1A"/>
    <w:rsid w:val="00AD620E"/>
    <w:rsid w:val="00AD6524"/>
    <w:rsid w:val="00AE03D0"/>
    <w:rsid w:val="00AE70CB"/>
    <w:rsid w:val="00AF1FFF"/>
    <w:rsid w:val="00B0610E"/>
    <w:rsid w:val="00B07D37"/>
    <w:rsid w:val="00B12D28"/>
    <w:rsid w:val="00B142B6"/>
    <w:rsid w:val="00B279D7"/>
    <w:rsid w:val="00B54440"/>
    <w:rsid w:val="00B570B6"/>
    <w:rsid w:val="00B823CD"/>
    <w:rsid w:val="00B83A43"/>
    <w:rsid w:val="00B83C61"/>
    <w:rsid w:val="00B86FD1"/>
    <w:rsid w:val="00B91960"/>
    <w:rsid w:val="00B9295C"/>
    <w:rsid w:val="00BB2C44"/>
    <w:rsid w:val="00BB560A"/>
    <w:rsid w:val="00BB660C"/>
    <w:rsid w:val="00BB6D32"/>
    <w:rsid w:val="00BC0D05"/>
    <w:rsid w:val="00BD2713"/>
    <w:rsid w:val="00BE11E7"/>
    <w:rsid w:val="00BE278D"/>
    <w:rsid w:val="00BE2CE9"/>
    <w:rsid w:val="00BF627F"/>
    <w:rsid w:val="00BF644E"/>
    <w:rsid w:val="00C14FAF"/>
    <w:rsid w:val="00C26DBF"/>
    <w:rsid w:val="00C44EB1"/>
    <w:rsid w:val="00C44F25"/>
    <w:rsid w:val="00C45C3D"/>
    <w:rsid w:val="00C45FE8"/>
    <w:rsid w:val="00C55306"/>
    <w:rsid w:val="00C7658A"/>
    <w:rsid w:val="00C768BF"/>
    <w:rsid w:val="00C84084"/>
    <w:rsid w:val="00C93A40"/>
    <w:rsid w:val="00CA7010"/>
    <w:rsid w:val="00CC50F0"/>
    <w:rsid w:val="00CD37D1"/>
    <w:rsid w:val="00CE6401"/>
    <w:rsid w:val="00D01717"/>
    <w:rsid w:val="00D10A30"/>
    <w:rsid w:val="00D16AB1"/>
    <w:rsid w:val="00D222E4"/>
    <w:rsid w:val="00D26E9E"/>
    <w:rsid w:val="00D279D7"/>
    <w:rsid w:val="00D27FF6"/>
    <w:rsid w:val="00D31EBE"/>
    <w:rsid w:val="00D401FD"/>
    <w:rsid w:val="00D62597"/>
    <w:rsid w:val="00D63997"/>
    <w:rsid w:val="00D641C4"/>
    <w:rsid w:val="00D90F5D"/>
    <w:rsid w:val="00D96A5C"/>
    <w:rsid w:val="00D97DEE"/>
    <w:rsid w:val="00DB0EAE"/>
    <w:rsid w:val="00DB155C"/>
    <w:rsid w:val="00DC29F6"/>
    <w:rsid w:val="00DD0588"/>
    <w:rsid w:val="00DD622E"/>
    <w:rsid w:val="00DE5817"/>
    <w:rsid w:val="00DE5F1F"/>
    <w:rsid w:val="00DF0584"/>
    <w:rsid w:val="00E00C2E"/>
    <w:rsid w:val="00E141C7"/>
    <w:rsid w:val="00E24842"/>
    <w:rsid w:val="00E259BA"/>
    <w:rsid w:val="00E27C97"/>
    <w:rsid w:val="00E32A4F"/>
    <w:rsid w:val="00E33931"/>
    <w:rsid w:val="00E43B1F"/>
    <w:rsid w:val="00E518EE"/>
    <w:rsid w:val="00E54CB1"/>
    <w:rsid w:val="00E56FDA"/>
    <w:rsid w:val="00E66467"/>
    <w:rsid w:val="00E716C7"/>
    <w:rsid w:val="00E717DA"/>
    <w:rsid w:val="00E87408"/>
    <w:rsid w:val="00E91CC1"/>
    <w:rsid w:val="00E92A5E"/>
    <w:rsid w:val="00E9742A"/>
    <w:rsid w:val="00EA1C1E"/>
    <w:rsid w:val="00EA4CA8"/>
    <w:rsid w:val="00ED417B"/>
    <w:rsid w:val="00ED5054"/>
    <w:rsid w:val="00EE4FFE"/>
    <w:rsid w:val="00EE7570"/>
    <w:rsid w:val="00EE7BA5"/>
    <w:rsid w:val="00EF63AA"/>
    <w:rsid w:val="00F04124"/>
    <w:rsid w:val="00F06CA9"/>
    <w:rsid w:val="00F06DD8"/>
    <w:rsid w:val="00F10BBD"/>
    <w:rsid w:val="00F201B1"/>
    <w:rsid w:val="00F45266"/>
    <w:rsid w:val="00F5158B"/>
    <w:rsid w:val="00F56F14"/>
    <w:rsid w:val="00F6082D"/>
    <w:rsid w:val="00F71E22"/>
    <w:rsid w:val="00F74488"/>
    <w:rsid w:val="00F74B05"/>
    <w:rsid w:val="00F7519C"/>
    <w:rsid w:val="00F82C0B"/>
    <w:rsid w:val="00F85450"/>
    <w:rsid w:val="00F91CE9"/>
    <w:rsid w:val="00F91E42"/>
    <w:rsid w:val="00F92905"/>
    <w:rsid w:val="00F940A2"/>
    <w:rsid w:val="00FA02E3"/>
    <w:rsid w:val="00FB1947"/>
    <w:rsid w:val="00FB1F09"/>
    <w:rsid w:val="00FB52C6"/>
    <w:rsid w:val="00FB6E34"/>
    <w:rsid w:val="00FC008E"/>
    <w:rsid w:val="00FC4ADF"/>
    <w:rsid w:val="00FD150D"/>
    <w:rsid w:val="00FD1A93"/>
    <w:rsid w:val="00FD55CC"/>
    <w:rsid w:val="00FE6CD7"/>
    <w:rsid w:val="00FF34E4"/>
    <w:rsid w:val="02587675"/>
    <w:rsid w:val="03714B38"/>
    <w:rsid w:val="03DD3D7B"/>
    <w:rsid w:val="04D601DA"/>
    <w:rsid w:val="05BD59C6"/>
    <w:rsid w:val="08C74830"/>
    <w:rsid w:val="09FC3426"/>
    <w:rsid w:val="0A170DA1"/>
    <w:rsid w:val="0A305036"/>
    <w:rsid w:val="0AE51717"/>
    <w:rsid w:val="0B80520C"/>
    <w:rsid w:val="0C8657A3"/>
    <w:rsid w:val="0EA53E69"/>
    <w:rsid w:val="0F5C71F1"/>
    <w:rsid w:val="0F6D2639"/>
    <w:rsid w:val="0F805AE9"/>
    <w:rsid w:val="102A7E9B"/>
    <w:rsid w:val="105F329C"/>
    <w:rsid w:val="11783FCC"/>
    <w:rsid w:val="11F43CD3"/>
    <w:rsid w:val="12625A8C"/>
    <w:rsid w:val="13B81A23"/>
    <w:rsid w:val="14C43684"/>
    <w:rsid w:val="15EC5A51"/>
    <w:rsid w:val="1696191B"/>
    <w:rsid w:val="16D17DB8"/>
    <w:rsid w:val="17634221"/>
    <w:rsid w:val="19B212CE"/>
    <w:rsid w:val="1AAF58BA"/>
    <w:rsid w:val="1BCB70C8"/>
    <w:rsid w:val="1C296FAA"/>
    <w:rsid w:val="1E4731C2"/>
    <w:rsid w:val="1EA068DB"/>
    <w:rsid w:val="1FB17214"/>
    <w:rsid w:val="26182D1B"/>
    <w:rsid w:val="2B7C4F3C"/>
    <w:rsid w:val="2C293E17"/>
    <w:rsid w:val="2CE26BA8"/>
    <w:rsid w:val="2DEA4E23"/>
    <w:rsid w:val="2DED489E"/>
    <w:rsid w:val="2EDB424C"/>
    <w:rsid w:val="302C0154"/>
    <w:rsid w:val="30E7426D"/>
    <w:rsid w:val="311940C9"/>
    <w:rsid w:val="31E876DD"/>
    <w:rsid w:val="330160FC"/>
    <w:rsid w:val="333E76D8"/>
    <w:rsid w:val="34A622EB"/>
    <w:rsid w:val="363E443B"/>
    <w:rsid w:val="38CD7735"/>
    <w:rsid w:val="3919195D"/>
    <w:rsid w:val="3AE74DEB"/>
    <w:rsid w:val="3C99445D"/>
    <w:rsid w:val="3CD25BDF"/>
    <w:rsid w:val="3D361A86"/>
    <w:rsid w:val="3EBD61B3"/>
    <w:rsid w:val="3EDF3712"/>
    <w:rsid w:val="3F260181"/>
    <w:rsid w:val="3F38520A"/>
    <w:rsid w:val="40C463CC"/>
    <w:rsid w:val="413C367C"/>
    <w:rsid w:val="41DB4D15"/>
    <w:rsid w:val="41F50825"/>
    <w:rsid w:val="43A357CB"/>
    <w:rsid w:val="444C5BF6"/>
    <w:rsid w:val="473F1690"/>
    <w:rsid w:val="48031B80"/>
    <w:rsid w:val="4A0B4991"/>
    <w:rsid w:val="4B4F1B11"/>
    <w:rsid w:val="4BAF1C35"/>
    <w:rsid w:val="4C1A0BF6"/>
    <w:rsid w:val="4DD1585A"/>
    <w:rsid w:val="4F4073B2"/>
    <w:rsid w:val="54170AC4"/>
    <w:rsid w:val="547C0CF4"/>
    <w:rsid w:val="54FD081E"/>
    <w:rsid w:val="55E873EA"/>
    <w:rsid w:val="56610F89"/>
    <w:rsid w:val="59AA5402"/>
    <w:rsid w:val="5B834EDC"/>
    <w:rsid w:val="5E6A47DB"/>
    <w:rsid w:val="5EE7074D"/>
    <w:rsid w:val="5FD007AC"/>
    <w:rsid w:val="61D152F9"/>
    <w:rsid w:val="624F5F48"/>
    <w:rsid w:val="62CB1212"/>
    <w:rsid w:val="637817D0"/>
    <w:rsid w:val="63911275"/>
    <w:rsid w:val="63C76158"/>
    <w:rsid w:val="662B4BAF"/>
    <w:rsid w:val="66A56050"/>
    <w:rsid w:val="687D2F79"/>
    <w:rsid w:val="697E13EA"/>
    <w:rsid w:val="69B60958"/>
    <w:rsid w:val="6AE341D0"/>
    <w:rsid w:val="6B612560"/>
    <w:rsid w:val="6C954075"/>
    <w:rsid w:val="6D11661F"/>
    <w:rsid w:val="6D5B3E4F"/>
    <w:rsid w:val="6EC17C7C"/>
    <w:rsid w:val="70310613"/>
    <w:rsid w:val="71DF3B41"/>
    <w:rsid w:val="74F51CEE"/>
    <w:rsid w:val="76AB3BCE"/>
    <w:rsid w:val="7703539D"/>
    <w:rsid w:val="78B66D03"/>
    <w:rsid w:val="79E46539"/>
    <w:rsid w:val="7A054E92"/>
    <w:rsid w:val="7A9F493F"/>
    <w:rsid w:val="B3EFB7C7"/>
    <w:rsid w:val="F4FF78B9"/>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iPriority="0" w:name="toc 2"/>
    <w:lsdException w:qFormat="1"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after="160" w:line="312" w:lineRule="atLeast"/>
      <w:jc w:val="both"/>
    </w:pPr>
    <w:rPr>
      <w:rFonts w:ascii="Calibri" w:hAnsi="Calibri" w:eastAsia="宋体" w:cs="Times New Roman"/>
      <w:sz w:val="21"/>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paragraph" w:styleId="3">
    <w:name w:val="heading 2"/>
    <w:basedOn w:val="1"/>
    <w:next w:val="1"/>
    <w:link w:val="35"/>
    <w:unhideWhenUsed/>
    <w:qFormat/>
    <w:uiPriority w:val="0"/>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8"/>
    <w:unhideWhenUsed/>
    <w:qFormat/>
    <w:uiPriority w:val="0"/>
    <w:pPr>
      <w:keepNext/>
      <w:keepLines/>
      <w:spacing w:before="260" w:after="260" w:line="416" w:lineRule="atLeast"/>
      <w:outlineLvl w:val="2"/>
    </w:pPr>
    <w:rPr>
      <w:rFonts w:ascii="Times New Roman" w:hAnsi="Times New Roman"/>
      <w:b/>
      <w:bCs/>
      <w:sz w:val="32"/>
      <w:szCs w:val="32"/>
    </w:rPr>
  </w:style>
  <w:style w:type="paragraph" w:styleId="5">
    <w:name w:val="heading 4"/>
    <w:basedOn w:val="1"/>
    <w:next w:val="1"/>
    <w:qFormat/>
    <w:uiPriority w:val="0"/>
    <w:pPr>
      <w:keepNext/>
      <w:keepLines/>
      <w:spacing w:before="280" w:after="290" w:line="376" w:lineRule="atLeast"/>
      <w:outlineLvl w:val="3"/>
    </w:pPr>
    <w:rPr>
      <w:rFonts w:ascii="Arial" w:hAnsi="Arial" w:eastAsia="黑体"/>
      <w:b/>
      <w:bCs/>
      <w:sz w:val="28"/>
      <w:szCs w:val="28"/>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2"/>
    <w:unhideWhenUsed/>
    <w:qFormat/>
    <w:uiPriority w:val="0"/>
    <w:rPr>
      <w:b/>
      <w:bCs/>
    </w:rPr>
  </w:style>
  <w:style w:type="paragraph" w:styleId="7">
    <w:name w:val="annotation text"/>
    <w:basedOn w:val="1"/>
    <w:link w:val="31"/>
    <w:qFormat/>
    <w:uiPriority w:val="0"/>
    <w:pPr>
      <w:jc w:val="left"/>
    </w:pPr>
  </w:style>
  <w:style w:type="paragraph" w:styleId="8">
    <w:name w:val="caption"/>
    <w:basedOn w:val="1"/>
    <w:next w:val="1"/>
    <w:unhideWhenUsed/>
    <w:qFormat/>
    <w:uiPriority w:val="0"/>
    <w:pPr>
      <w:adjustRightInd/>
      <w:spacing w:after="60" w:line="240" w:lineRule="auto"/>
    </w:pPr>
    <w:rPr>
      <w:rFonts w:ascii="宋体" w:hAnsi="宋体"/>
      <w:b/>
      <w:bCs/>
      <w:kern w:val="2"/>
      <w:szCs w:val="24"/>
    </w:rPr>
  </w:style>
  <w:style w:type="paragraph" w:styleId="9">
    <w:name w:val="Body Text 3"/>
    <w:basedOn w:val="1"/>
    <w:link w:val="39"/>
    <w:unhideWhenUsed/>
    <w:qFormat/>
    <w:uiPriority w:val="0"/>
    <w:pPr>
      <w:spacing w:after="120"/>
    </w:pPr>
    <w:rPr>
      <w:sz w:val="16"/>
      <w:szCs w:val="16"/>
    </w:rPr>
  </w:style>
  <w:style w:type="paragraph" w:styleId="10">
    <w:name w:val="Body Text"/>
    <w:basedOn w:val="1"/>
    <w:link w:val="42"/>
    <w:qFormat/>
    <w:uiPriority w:val="0"/>
    <w:pPr>
      <w:spacing w:after="120"/>
    </w:pPr>
  </w:style>
  <w:style w:type="paragraph" w:styleId="11">
    <w:name w:val="Body Text Indent"/>
    <w:basedOn w:val="1"/>
    <w:link w:val="37"/>
    <w:unhideWhenUsed/>
    <w:qFormat/>
    <w:uiPriority w:val="0"/>
    <w:pPr>
      <w:spacing w:after="120"/>
      <w:ind w:left="420" w:leftChars="200"/>
    </w:pPr>
  </w:style>
  <w:style w:type="paragraph" w:styleId="12">
    <w:name w:val="toc 3"/>
    <w:basedOn w:val="1"/>
    <w:next w:val="1"/>
    <w:unhideWhenUsed/>
    <w:qFormat/>
    <w:uiPriority w:val="0"/>
    <w:pPr>
      <w:ind w:left="840" w:leftChars="400"/>
    </w:pPr>
  </w:style>
  <w:style w:type="paragraph" w:styleId="13">
    <w:name w:val="Plain Text"/>
    <w:basedOn w:val="1"/>
    <w:link w:val="36"/>
    <w:qFormat/>
    <w:uiPriority w:val="0"/>
    <w:pPr>
      <w:widowControl/>
      <w:adjustRightInd/>
      <w:spacing w:before="100" w:beforeAutospacing="1" w:after="100" w:afterAutospacing="1" w:line="240" w:lineRule="auto"/>
      <w:jc w:val="left"/>
    </w:pPr>
    <w:rPr>
      <w:rFonts w:ascii="宋体" w:hAnsi="宋体" w:cs="宋体"/>
      <w:color w:val="000000"/>
      <w:sz w:val="24"/>
      <w:szCs w:val="24"/>
    </w:rPr>
  </w:style>
  <w:style w:type="paragraph" w:styleId="14">
    <w:name w:val="Balloon Text"/>
    <w:basedOn w:val="1"/>
    <w:link w:val="30"/>
    <w:qFormat/>
    <w:uiPriority w:val="0"/>
    <w:pPr>
      <w:spacing w:line="240" w:lineRule="auto"/>
    </w:pPr>
    <w:rPr>
      <w:sz w:val="18"/>
      <w:szCs w:val="18"/>
    </w:rPr>
  </w:style>
  <w:style w:type="paragraph" w:styleId="15">
    <w:name w:val="footer"/>
    <w:basedOn w:val="1"/>
    <w:qFormat/>
    <w:uiPriority w:val="0"/>
    <w:pPr>
      <w:tabs>
        <w:tab w:val="center" w:pos="4153"/>
        <w:tab w:val="right" w:pos="8306"/>
      </w:tabs>
      <w:adjustRightInd/>
      <w:snapToGrid w:val="0"/>
      <w:spacing w:line="240" w:lineRule="auto"/>
      <w:jc w:val="left"/>
    </w:pPr>
    <w:rPr>
      <w:kern w:val="2"/>
      <w:sz w:val="18"/>
    </w:rPr>
  </w:style>
  <w:style w:type="paragraph" w:styleId="16">
    <w:name w:val="header"/>
    <w:basedOn w:val="1"/>
    <w:qFormat/>
    <w:uiPriority w:val="0"/>
    <w:pPr>
      <w:pBdr>
        <w:bottom w:val="single" w:color="auto" w:sz="6" w:space="1"/>
      </w:pBdr>
      <w:tabs>
        <w:tab w:val="center" w:pos="4153"/>
        <w:tab w:val="right" w:pos="8306"/>
      </w:tabs>
      <w:adjustRightInd/>
      <w:snapToGrid w:val="0"/>
      <w:spacing w:line="240" w:lineRule="auto"/>
      <w:jc w:val="center"/>
    </w:pPr>
    <w:rPr>
      <w:kern w:val="2"/>
      <w:sz w:val="18"/>
    </w:rPr>
  </w:style>
  <w:style w:type="paragraph" w:styleId="17">
    <w:name w:val="toc 1"/>
    <w:basedOn w:val="1"/>
    <w:next w:val="1"/>
    <w:semiHidden/>
    <w:qFormat/>
    <w:uiPriority w:val="0"/>
    <w:pPr>
      <w:tabs>
        <w:tab w:val="right" w:leader="dot" w:pos="8296"/>
      </w:tabs>
      <w:spacing w:line="360" w:lineRule="auto"/>
    </w:pPr>
    <w:rPr>
      <w:sz w:val="24"/>
    </w:rPr>
  </w:style>
  <w:style w:type="paragraph" w:styleId="18">
    <w:name w:val="toc 2"/>
    <w:basedOn w:val="1"/>
    <w:next w:val="1"/>
    <w:unhideWhenUsed/>
    <w:qFormat/>
    <w:uiPriority w:val="0"/>
    <w:pPr>
      <w:ind w:left="420" w:leftChars="200"/>
    </w:pPr>
  </w:style>
  <w:style w:type="paragraph" w:styleId="19">
    <w:name w:val="Body Text 2"/>
    <w:basedOn w:val="1"/>
    <w:link w:val="33"/>
    <w:unhideWhenUsed/>
    <w:qFormat/>
    <w:uiPriority w:val="0"/>
    <w:pPr>
      <w:spacing w:after="120" w:line="480" w:lineRule="auto"/>
    </w:pPr>
  </w:style>
  <w:style w:type="character" w:styleId="21">
    <w:name w:val="page number"/>
    <w:basedOn w:val="20"/>
    <w:qFormat/>
    <w:uiPriority w:val="0"/>
  </w:style>
  <w:style w:type="character" w:styleId="22">
    <w:name w:val="Emphasis"/>
    <w:basedOn w:val="20"/>
    <w:qFormat/>
    <w:uiPriority w:val="20"/>
    <w:rPr>
      <w:i/>
    </w:rPr>
  </w:style>
  <w:style w:type="character" w:styleId="23">
    <w:name w:val="Hyperlink"/>
    <w:qFormat/>
    <w:uiPriority w:val="0"/>
    <w:rPr>
      <w:color w:val="0000FF"/>
      <w:u w:val="single"/>
    </w:rPr>
  </w:style>
  <w:style w:type="character" w:styleId="24">
    <w:name w:val="annotation reference"/>
    <w:semiHidden/>
    <w:qFormat/>
    <w:uiPriority w:val="0"/>
    <w:rPr>
      <w:sz w:val="21"/>
      <w:szCs w:val="21"/>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7">
    <w:name w:val="标题A"/>
    <w:basedOn w:val="2"/>
    <w:qFormat/>
    <w:uiPriority w:val="0"/>
    <w:pPr>
      <w:spacing w:before="100" w:beforeAutospacing="1" w:after="60" w:line="240" w:lineRule="auto"/>
      <w:jc w:val="center"/>
    </w:pPr>
    <w:rPr>
      <w:rFonts w:ascii="Arial" w:hAnsi="Arial"/>
      <w:sz w:val="28"/>
    </w:rPr>
  </w:style>
  <w:style w:type="paragraph" w:customStyle="1" w:styleId="28">
    <w:name w:val="正文文字3"/>
    <w:basedOn w:val="10"/>
    <w:qFormat/>
    <w:uiPriority w:val="0"/>
    <w:pPr>
      <w:spacing w:after="0" w:line="360" w:lineRule="atLeast"/>
      <w:ind w:left="72" w:leftChars="30" w:right="72" w:rightChars="30"/>
    </w:pPr>
  </w:style>
  <w:style w:type="paragraph" w:customStyle="1" w:styleId="29">
    <w:name w:val="Table Paragraph"/>
    <w:basedOn w:val="1"/>
    <w:qFormat/>
    <w:uiPriority w:val="1"/>
    <w:pPr>
      <w:jc w:val="left"/>
    </w:pPr>
    <w:rPr>
      <w:sz w:val="22"/>
      <w:lang w:eastAsia="en-US"/>
    </w:rPr>
  </w:style>
  <w:style w:type="character" w:customStyle="1" w:styleId="30">
    <w:name w:val="批注框文本 字符"/>
    <w:basedOn w:val="20"/>
    <w:link w:val="14"/>
    <w:qFormat/>
    <w:uiPriority w:val="0"/>
    <w:rPr>
      <w:rFonts w:ascii="Calibri" w:hAnsi="Calibri" w:eastAsia="宋体" w:cs="Times New Roman"/>
      <w:sz w:val="18"/>
      <w:szCs w:val="18"/>
    </w:rPr>
  </w:style>
  <w:style w:type="character" w:customStyle="1" w:styleId="31">
    <w:name w:val="批注文字 字符"/>
    <w:basedOn w:val="20"/>
    <w:link w:val="7"/>
    <w:qFormat/>
    <w:uiPriority w:val="0"/>
    <w:rPr>
      <w:rFonts w:ascii="Calibri" w:hAnsi="Calibri" w:eastAsia="宋体" w:cs="Times New Roman"/>
      <w:sz w:val="21"/>
    </w:rPr>
  </w:style>
  <w:style w:type="character" w:customStyle="1" w:styleId="32">
    <w:name w:val="批注主题 字符"/>
    <w:basedOn w:val="31"/>
    <w:link w:val="6"/>
    <w:semiHidden/>
    <w:qFormat/>
    <w:uiPriority w:val="0"/>
    <w:rPr>
      <w:rFonts w:ascii="Calibri" w:hAnsi="Calibri" w:eastAsia="宋体" w:cs="Times New Roman"/>
      <w:b/>
      <w:bCs/>
      <w:sz w:val="21"/>
    </w:rPr>
  </w:style>
  <w:style w:type="character" w:customStyle="1" w:styleId="33">
    <w:name w:val="正文文本 2 字符"/>
    <w:basedOn w:val="20"/>
    <w:link w:val="19"/>
    <w:qFormat/>
    <w:uiPriority w:val="0"/>
    <w:rPr>
      <w:rFonts w:ascii="Calibri" w:hAnsi="Calibri" w:eastAsia="宋体" w:cs="Times New Roman"/>
      <w:sz w:val="21"/>
    </w:rPr>
  </w:style>
  <w:style w:type="paragraph" w:customStyle="1" w:styleId="34">
    <w:name w:val="列表段落1"/>
    <w:basedOn w:val="1"/>
    <w:qFormat/>
    <w:uiPriority w:val="34"/>
    <w:pPr>
      <w:ind w:firstLine="420" w:firstLineChars="200"/>
    </w:pPr>
  </w:style>
  <w:style w:type="character" w:customStyle="1" w:styleId="35">
    <w:name w:val="标题 2 字符"/>
    <w:basedOn w:val="20"/>
    <w:link w:val="3"/>
    <w:semiHidden/>
    <w:qFormat/>
    <w:uiPriority w:val="0"/>
    <w:rPr>
      <w:rFonts w:asciiTheme="majorHAnsi" w:hAnsiTheme="majorHAnsi" w:eastAsiaTheme="majorEastAsia" w:cstheme="majorBidi"/>
      <w:b/>
      <w:bCs/>
      <w:sz w:val="32"/>
      <w:szCs w:val="32"/>
    </w:rPr>
  </w:style>
  <w:style w:type="character" w:customStyle="1" w:styleId="36">
    <w:name w:val="纯文本 字符"/>
    <w:basedOn w:val="20"/>
    <w:link w:val="13"/>
    <w:qFormat/>
    <w:uiPriority w:val="0"/>
    <w:rPr>
      <w:rFonts w:ascii="宋体" w:hAnsi="宋体" w:eastAsia="宋体" w:cs="宋体"/>
      <w:color w:val="000000"/>
      <w:sz w:val="24"/>
      <w:szCs w:val="24"/>
    </w:rPr>
  </w:style>
  <w:style w:type="character" w:customStyle="1" w:styleId="37">
    <w:name w:val="正文文本缩进 字符"/>
    <w:basedOn w:val="20"/>
    <w:link w:val="11"/>
    <w:semiHidden/>
    <w:qFormat/>
    <w:uiPriority w:val="0"/>
    <w:rPr>
      <w:rFonts w:ascii="Calibri" w:hAnsi="Calibri" w:eastAsia="宋体" w:cs="Times New Roman"/>
      <w:sz w:val="21"/>
    </w:rPr>
  </w:style>
  <w:style w:type="character" w:customStyle="1" w:styleId="38">
    <w:name w:val="标题 3 字符"/>
    <w:basedOn w:val="20"/>
    <w:link w:val="4"/>
    <w:semiHidden/>
    <w:qFormat/>
    <w:uiPriority w:val="0"/>
    <w:rPr>
      <w:rFonts w:ascii="Times New Roman" w:hAnsi="Times New Roman" w:eastAsia="宋体" w:cs="Times New Roman"/>
      <w:b/>
      <w:bCs/>
      <w:sz w:val="32"/>
      <w:szCs w:val="32"/>
    </w:rPr>
  </w:style>
  <w:style w:type="character" w:customStyle="1" w:styleId="39">
    <w:name w:val="正文文本 3 字符"/>
    <w:basedOn w:val="20"/>
    <w:link w:val="9"/>
    <w:semiHidden/>
    <w:qFormat/>
    <w:uiPriority w:val="0"/>
    <w:rPr>
      <w:rFonts w:ascii="Calibri" w:hAnsi="Calibri" w:eastAsia="宋体" w:cs="Times New Roman"/>
      <w:sz w:val="16"/>
      <w:szCs w:val="16"/>
    </w:rPr>
  </w:style>
  <w:style w:type="table" w:customStyle="1" w:styleId="40">
    <w:name w:val="TableGrid"/>
    <w:qFormat/>
    <w:uiPriority w:val="0"/>
    <w:rPr>
      <w:kern w:val="2"/>
      <w:sz w:val="21"/>
      <w:szCs w:val="22"/>
    </w:rPr>
    <w:tblPr>
      <w:tblLayout w:type="fixed"/>
      <w:tblCellMar>
        <w:top w:w="0" w:type="dxa"/>
        <w:left w:w="0" w:type="dxa"/>
        <w:bottom w:w="0" w:type="dxa"/>
        <w:right w:w="0" w:type="dxa"/>
      </w:tblCellMar>
    </w:tblPr>
  </w:style>
  <w:style w:type="paragraph" w:customStyle="1" w:styleId="41">
    <w:name w:val="列出段落1"/>
    <w:basedOn w:val="1"/>
    <w:qFormat/>
    <w:uiPriority w:val="0"/>
    <w:pPr>
      <w:adjustRightInd/>
      <w:spacing w:line="240" w:lineRule="auto"/>
      <w:ind w:firstLine="200" w:firstLineChars="200"/>
    </w:pPr>
    <w:rPr>
      <w:kern w:val="2"/>
      <w:szCs w:val="22"/>
    </w:rPr>
  </w:style>
  <w:style w:type="character" w:customStyle="1" w:styleId="42">
    <w:name w:val="正文文本 字符"/>
    <w:basedOn w:val="20"/>
    <w:link w:val="10"/>
    <w:qFormat/>
    <w:uiPriority w:val="0"/>
    <w:rPr>
      <w:rFonts w:ascii="Calibri" w:hAnsi="Calibri" w:eastAsia="宋体" w:cs="Times New Roman"/>
      <w:sz w:val="21"/>
    </w:rPr>
  </w:style>
  <w:style w:type="paragraph" w:customStyle="1" w:styleId="4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46</Pages>
  <Words>6013</Words>
  <Characters>34277</Characters>
  <Lines>285</Lines>
  <Paragraphs>80</Paragraphs>
  <ScaleCrop>false</ScaleCrop>
  <LinksUpToDate>false</LinksUpToDate>
  <CharactersWithSpaces>40210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2021-09-02T16:35:00Z</dcterms:created>
  <dc:creator>徐翔</dc:creator>
  <cp:lastModifiedBy>Administrator</cp:lastModifiedBy>
  <cp:lastPrinted>2020-06-22T17:51:00Z</cp:lastPrinted>
  <dcterms:modified xsi:type="dcterms:W3CDTF">2021-10-12T08:30:28Z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y fmtid="{D5CDD505-2E9C-101B-9397-08002B2CF9AE}" pid="3" name="ICV">
    <vt:lpwstr>143D8E15533646939A00EC4C5BD27FCB</vt:lpwstr>
  </property>
</Properties>
</file>